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CCCA86" w14:textId="2D197724" w:rsidR="002F1B64" w:rsidRPr="00EE76A9" w:rsidRDefault="002F1B64" w:rsidP="002F1B64">
      <w:pPr>
        <w:pStyle w:val="Header"/>
        <w:tabs>
          <w:tab w:val="right" w:pos="9639"/>
        </w:tabs>
        <w:rPr>
          <w:bCs/>
          <w:i/>
          <w:noProof w:val="0"/>
          <w:sz w:val="32"/>
          <w:lang w:val="en-GB"/>
        </w:rPr>
      </w:pPr>
      <w:bookmarkStart w:id="0" w:name="OLE_LINK5"/>
      <w:bookmarkStart w:id="1" w:name="OLE_LINK6"/>
      <w:r w:rsidRPr="007B7496">
        <w:rPr>
          <w:bCs/>
          <w:noProof w:val="0"/>
          <w:sz w:val="24"/>
          <w:lang w:val="en-GB"/>
        </w:rPr>
        <w:t>3GPP T</w:t>
      </w:r>
      <w:bookmarkStart w:id="2" w:name="_Ref452454252"/>
      <w:bookmarkEnd w:id="2"/>
      <w:r w:rsidRPr="007B7496">
        <w:rPr>
          <w:bCs/>
          <w:noProof w:val="0"/>
          <w:sz w:val="24"/>
          <w:lang w:val="en-GB"/>
        </w:rPr>
        <w:t xml:space="preserve">SG-RAN </w:t>
      </w:r>
      <w:r w:rsidRPr="000A4D7C">
        <w:rPr>
          <w:noProof w:val="0"/>
          <w:sz w:val="24"/>
          <w:lang w:val="en-GB"/>
        </w:rPr>
        <w:t>WG</w:t>
      </w:r>
      <w:r w:rsidR="0004189A">
        <w:rPr>
          <w:noProof w:val="0"/>
          <w:sz w:val="24"/>
          <w:lang w:val="en-GB"/>
        </w:rPr>
        <w:t>1#</w:t>
      </w:r>
      <w:r w:rsidR="00303F60">
        <w:rPr>
          <w:noProof w:val="0"/>
          <w:sz w:val="24"/>
          <w:lang w:val="en-GB"/>
        </w:rPr>
        <w:t>NR3</w:t>
      </w:r>
      <w:r w:rsidRPr="007B7496">
        <w:rPr>
          <w:bCs/>
          <w:noProof w:val="0"/>
          <w:sz w:val="24"/>
          <w:lang w:val="en-GB"/>
        </w:rPr>
        <w:tab/>
      </w:r>
      <w:r w:rsidRPr="00026794">
        <w:rPr>
          <w:rFonts w:hint="eastAsia"/>
          <w:bCs/>
          <w:noProof w:val="0"/>
          <w:sz w:val="24"/>
          <w:lang w:val="en-GB" w:eastAsia="ja-JP"/>
        </w:rPr>
        <w:t>R</w:t>
      </w:r>
      <w:r w:rsidRPr="00026794">
        <w:rPr>
          <w:bCs/>
          <w:noProof w:val="0"/>
          <w:sz w:val="24"/>
          <w:lang w:val="en-GB" w:eastAsia="ja-JP"/>
        </w:rPr>
        <w:t>1</w:t>
      </w:r>
      <w:r w:rsidRPr="00026794">
        <w:rPr>
          <w:rFonts w:hint="eastAsia"/>
          <w:bCs/>
          <w:noProof w:val="0"/>
          <w:sz w:val="24"/>
          <w:lang w:val="en-GB" w:eastAsia="ja-JP"/>
        </w:rPr>
        <w:t>-</w:t>
      </w:r>
      <w:r>
        <w:rPr>
          <w:bCs/>
          <w:noProof w:val="0"/>
          <w:sz w:val="24"/>
          <w:lang w:val="en-GB" w:eastAsia="ja-JP"/>
        </w:rPr>
        <w:t>17</w:t>
      </w:r>
      <w:r w:rsidR="008170C3">
        <w:rPr>
          <w:bCs/>
          <w:noProof w:val="0"/>
          <w:sz w:val="24"/>
          <w:lang w:val="en-GB" w:eastAsia="ja-JP"/>
        </w:rPr>
        <w:t>16137</w:t>
      </w:r>
    </w:p>
    <w:bookmarkEnd w:id="0"/>
    <w:bookmarkEnd w:id="1"/>
    <w:p w14:paraId="2C39D20F" w14:textId="77777777" w:rsidR="00303F60" w:rsidRPr="00420ACD" w:rsidRDefault="00303F60" w:rsidP="00303F60">
      <w:pPr>
        <w:pStyle w:val="Header"/>
        <w:tabs>
          <w:tab w:val="right" w:pos="9639"/>
        </w:tabs>
        <w:rPr>
          <w:noProof w:val="0"/>
          <w:sz w:val="24"/>
          <w:szCs w:val="24"/>
        </w:rPr>
      </w:pPr>
      <w:r>
        <w:rPr>
          <w:noProof w:val="0"/>
          <w:sz w:val="24"/>
          <w:szCs w:val="24"/>
        </w:rPr>
        <w:t xml:space="preserve">Nagoya, Japan, </w:t>
      </w:r>
      <w:r w:rsidRPr="7EA655E9">
        <w:rPr>
          <w:noProof w:val="0"/>
          <w:sz w:val="24"/>
          <w:szCs w:val="24"/>
        </w:rPr>
        <w:t>1</w:t>
      </w:r>
      <w:r>
        <w:rPr>
          <w:noProof w:val="0"/>
          <w:sz w:val="24"/>
          <w:szCs w:val="24"/>
        </w:rPr>
        <w:t>8</w:t>
      </w:r>
      <w:r w:rsidRPr="7EA655E9">
        <w:rPr>
          <w:noProof w:val="0"/>
          <w:sz w:val="24"/>
          <w:szCs w:val="24"/>
          <w:vertAlign w:val="superscript"/>
        </w:rPr>
        <w:t>t</w:t>
      </w:r>
      <w:r>
        <w:rPr>
          <w:noProof w:val="0"/>
          <w:sz w:val="24"/>
          <w:szCs w:val="24"/>
          <w:vertAlign w:val="superscript"/>
        </w:rPr>
        <w:t>h</w:t>
      </w:r>
      <w:r w:rsidRPr="7EA655E9">
        <w:rPr>
          <w:noProof w:val="0"/>
          <w:sz w:val="24"/>
          <w:szCs w:val="24"/>
        </w:rPr>
        <w:t xml:space="preserve"> – 2</w:t>
      </w:r>
      <w:r>
        <w:rPr>
          <w:noProof w:val="0"/>
          <w:sz w:val="24"/>
          <w:szCs w:val="24"/>
        </w:rPr>
        <w:t>1</w:t>
      </w:r>
      <w:r>
        <w:rPr>
          <w:noProof w:val="0"/>
          <w:sz w:val="24"/>
          <w:szCs w:val="24"/>
          <w:vertAlign w:val="superscript"/>
        </w:rPr>
        <w:t>st</w:t>
      </w:r>
      <w:r w:rsidRPr="7EA655E9">
        <w:rPr>
          <w:noProof w:val="0"/>
          <w:sz w:val="24"/>
          <w:szCs w:val="24"/>
        </w:rPr>
        <w:t xml:space="preserve"> </w:t>
      </w:r>
      <w:r>
        <w:rPr>
          <w:noProof w:val="0"/>
          <w:sz w:val="24"/>
          <w:szCs w:val="24"/>
        </w:rPr>
        <w:t>September</w:t>
      </w:r>
      <w:r w:rsidRPr="7EA655E9">
        <w:rPr>
          <w:noProof w:val="0"/>
          <w:sz w:val="24"/>
          <w:szCs w:val="24"/>
        </w:rPr>
        <w:t xml:space="preserve"> 2017</w:t>
      </w:r>
    </w:p>
    <w:p w14:paraId="0DE4A9A8" w14:textId="77777777" w:rsidR="002F1B64" w:rsidRPr="007B7496" w:rsidRDefault="002F1B64" w:rsidP="002F1B64">
      <w:pPr>
        <w:pStyle w:val="Header"/>
        <w:rPr>
          <w:bCs/>
          <w:noProof w:val="0"/>
          <w:sz w:val="24"/>
          <w:lang w:val="en-GB" w:eastAsia="ja-JP"/>
        </w:rPr>
      </w:pPr>
    </w:p>
    <w:p w14:paraId="184D3AF2" w14:textId="7DD03AB8" w:rsidR="002F1B64" w:rsidRPr="007B7496" w:rsidRDefault="002F1B64" w:rsidP="002F1B64">
      <w:pPr>
        <w:pStyle w:val="CRCoverPage"/>
        <w:rPr>
          <w:rFonts w:cs="Arial"/>
          <w:b/>
          <w:bCs/>
          <w:sz w:val="24"/>
          <w:lang w:eastAsia="ja-JP"/>
        </w:rPr>
      </w:pPr>
      <w:r w:rsidRPr="00464589">
        <w:rPr>
          <w:rFonts w:cs="Arial"/>
          <w:b/>
          <w:bCs/>
          <w:sz w:val="24"/>
        </w:rPr>
        <w:t>Agenda item:</w:t>
      </w:r>
      <w:r w:rsidRPr="00464589">
        <w:rPr>
          <w:rFonts w:cs="Arial"/>
          <w:b/>
          <w:bCs/>
          <w:sz w:val="24"/>
        </w:rPr>
        <w:tab/>
      </w:r>
      <w:r w:rsidRPr="00464589">
        <w:rPr>
          <w:rFonts w:cs="Arial"/>
          <w:b/>
          <w:bCs/>
          <w:sz w:val="24"/>
        </w:rPr>
        <w:tab/>
      </w:r>
      <w:r w:rsidR="00FE21B5">
        <w:rPr>
          <w:rFonts w:cs="Arial"/>
          <w:b/>
          <w:bCs/>
          <w:sz w:val="24"/>
        </w:rPr>
        <w:t>6</w:t>
      </w:r>
      <w:r w:rsidR="00303F60">
        <w:rPr>
          <w:rFonts w:cs="Arial"/>
          <w:b/>
          <w:bCs/>
          <w:sz w:val="24"/>
        </w:rPr>
        <w:t>.</w:t>
      </w:r>
      <w:r w:rsidR="00827C60">
        <w:rPr>
          <w:rFonts w:cs="Arial"/>
          <w:b/>
          <w:bCs/>
          <w:sz w:val="24"/>
        </w:rPr>
        <w:t>1.4.1</w:t>
      </w:r>
    </w:p>
    <w:p w14:paraId="65DB1022" w14:textId="17CD968C" w:rsidR="002F1B64" w:rsidRPr="00F174DB" w:rsidRDefault="002F1B64" w:rsidP="002F1B64">
      <w:pPr>
        <w:tabs>
          <w:tab w:val="left" w:pos="1985"/>
        </w:tabs>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bookmarkStart w:id="3" w:name="OLE_LINK1"/>
      <w:bookmarkStart w:id="4" w:name="OLE_LINK2"/>
      <w:r w:rsidRPr="00F174DB">
        <w:rPr>
          <w:rFonts w:ascii="Arial" w:hAnsi="Arial" w:cs="Arial"/>
          <w:b/>
          <w:bCs/>
          <w:sz w:val="24"/>
        </w:rPr>
        <w:t>N</w:t>
      </w:r>
      <w:r>
        <w:rPr>
          <w:rFonts w:ascii="Arial" w:hAnsi="Arial" w:cs="Arial"/>
          <w:b/>
          <w:bCs/>
          <w:sz w:val="24"/>
        </w:rPr>
        <w:t>okia</w:t>
      </w:r>
      <w:bookmarkEnd w:id="3"/>
      <w:bookmarkEnd w:id="4"/>
      <w:r>
        <w:rPr>
          <w:rFonts w:ascii="Arial" w:hAnsi="Arial" w:cs="Arial"/>
          <w:b/>
          <w:bCs/>
          <w:sz w:val="24"/>
        </w:rPr>
        <w:t xml:space="preserve">, </w:t>
      </w:r>
      <w:r w:rsidR="0004189A">
        <w:rPr>
          <w:rFonts w:ascii="Arial" w:hAnsi="Arial" w:cs="Arial"/>
          <w:b/>
          <w:bCs/>
          <w:sz w:val="24"/>
        </w:rPr>
        <w:t>Nokia</w:t>
      </w:r>
      <w:r>
        <w:rPr>
          <w:rFonts w:ascii="Arial" w:hAnsi="Arial" w:cs="Arial"/>
          <w:b/>
          <w:bCs/>
          <w:sz w:val="24"/>
        </w:rPr>
        <w:t xml:space="preserve"> Shanghai Bell </w:t>
      </w:r>
    </w:p>
    <w:p w14:paraId="6C17C0E9" w14:textId="4D8CB7F1" w:rsidR="002F1B64" w:rsidRPr="0016316A" w:rsidRDefault="002F1B64" w:rsidP="002F1B64">
      <w:pPr>
        <w:ind w:left="1985" w:hanging="1985"/>
        <w:rPr>
          <w:rFonts w:ascii="Arial" w:hAnsi="Arial" w:cs="Arial"/>
          <w:b/>
          <w:bCs/>
          <w:sz w:val="24"/>
        </w:rPr>
      </w:pPr>
      <w:r w:rsidRPr="00F174DB">
        <w:rPr>
          <w:rFonts w:ascii="Arial" w:hAnsi="Arial" w:cs="Arial"/>
          <w:b/>
          <w:bCs/>
          <w:sz w:val="24"/>
        </w:rPr>
        <w:t>Title:</w:t>
      </w:r>
      <w:r w:rsidRPr="00F174DB">
        <w:rPr>
          <w:rFonts w:ascii="Arial" w:hAnsi="Arial" w:cs="Arial"/>
          <w:b/>
          <w:bCs/>
          <w:sz w:val="24"/>
        </w:rPr>
        <w:tab/>
      </w:r>
      <w:r w:rsidR="00303F60">
        <w:rPr>
          <w:rFonts w:ascii="Arial" w:hAnsi="Arial" w:cs="Arial"/>
          <w:b/>
          <w:bCs/>
          <w:sz w:val="24"/>
        </w:rPr>
        <w:t>Remaining details on PRACH formats</w:t>
      </w:r>
    </w:p>
    <w:p w14:paraId="3F1AFA8D" w14:textId="77777777" w:rsidR="002F1B64" w:rsidRPr="007B7496" w:rsidRDefault="002F1B64" w:rsidP="002F1B64">
      <w:pPr>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219CFE66" w14:textId="77777777" w:rsidR="0034111C" w:rsidRPr="0016316A" w:rsidRDefault="0034111C">
      <w:pPr>
        <w:pStyle w:val="Heading1"/>
      </w:pPr>
      <w:r w:rsidRPr="0016316A">
        <w:t>1</w:t>
      </w:r>
      <w:r w:rsidRPr="0016316A">
        <w:tab/>
      </w:r>
      <w:r w:rsidR="00EE7FA7" w:rsidRPr="0016316A">
        <w:t>Introduction</w:t>
      </w:r>
    </w:p>
    <w:p w14:paraId="530066B0" w14:textId="5446247B" w:rsidR="00B96259" w:rsidRPr="0083363F" w:rsidRDefault="00B96259" w:rsidP="00B96259">
      <w:pPr>
        <w:overflowPunct/>
        <w:autoSpaceDE/>
        <w:autoSpaceDN/>
        <w:adjustRightInd/>
        <w:spacing w:after="120" w:line="259" w:lineRule="auto"/>
        <w:jc w:val="both"/>
        <w:textAlignment w:val="auto"/>
        <w:rPr>
          <w:rFonts w:asciiTheme="minorHAnsi" w:eastAsiaTheme="minorHAnsi" w:hAnsiTheme="minorHAnsi" w:cstheme="minorHAnsi"/>
          <w:bCs/>
          <w:sz w:val="22"/>
          <w:szCs w:val="22"/>
          <w:lang w:val="en-US"/>
        </w:rPr>
      </w:pPr>
      <w:r w:rsidRPr="0083363F">
        <w:rPr>
          <w:rFonts w:asciiTheme="minorHAnsi" w:eastAsiaTheme="minorHAnsi" w:hAnsiTheme="minorHAnsi" w:cstheme="minorHAnsi"/>
          <w:bCs/>
          <w:sz w:val="22"/>
          <w:szCs w:val="22"/>
          <w:lang w:val="en-US"/>
        </w:rPr>
        <w:t xml:space="preserve">During the NR Study Item, RAN1 has established requirements and scenarios for NR </w:t>
      </w:r>
      <w:r w:rsidR="00696FB3" w:rsidRPr="0083363F">
        <w:rPr>
          <w:rFonts w:asciiTheme="minorHAnsi" w:eastAsiaTheme="minorHAnsi" w:hAnsiTheme="minorHAnsi" w:cstheme="minorHAnsi"/>
          <w:bCs/>
          <w:sz w:val="22"/>
          <w:szCs w:val="22"/>
          <w:lang w:val="en-US"/>
        </w:rPr>
        <w:fldChar w:fldCharType="begin"/>
      </w:r>
      <w:r w:rsidR="00696FB3" w:rsidRPr="0083363F">
        <w:rPr>
          <w:rFonts w:asciiTheme="minorHAnsi" w:eastAsiaTheme="minorHAnsi" w:hAnsiTheme="minorHAnsi" w:cstheme="minorHAnsi"/>
          <w:bCs/>
          <w:sz w:val="22"/>
          <w:szCs w:val="22"/>
          <w:lang w:val="en-US"/>
        </w:rPr>
        <w:instrText xml:space="preserve"> REF _Ref490133583 \r \h </w:instrText>
      </w:r>
      <w:r w:rsidR="0083363F">
        <w:rPr>
          <w:rFonts w:asciiTheme="minorHAnsi" w:eastAsiaTheme="minorHAnsi" w:hAnsiTheme="minorHAnsi" w:cstheme="minorHAnsi"/>
          <w:bCs/>
          <w:sz w:val="22"/>
          <w:szCs w:val="22"/>
          <w:lang w:val="en-US"/>
        </w:rPr>
        <w:instrText xml:space="preserve"> \* MERGEFORMAT </w:instrText>
      </w:r>
      <w:r w:rsidR="00696FB3" w:rsidRPr="0083363F">
        <w:rPr>
          <w:rFonts w:asciiTheme="minorHAnsi" w:eastAsiaTheme="minorHAnsi" w:hAnsiTheme="minorHAnsi" w:cstheme="minorHAnsi"/>
          <w:bCs/>
          <w:sz w:val="22"/>
          <w:szCs w:val="22"/>
          <w:lang w:val="en-US"/>
        </w:rPr>
      </w:r>
      <w:r w:rsidR="00696FB3" w:rsidRPr="0083363F">
        <w:rPr>
          <w:rFonts w:asciiTheme="minorHAnsi" w:eastAsiaTheme="minorHAnsi" w:hAnsiTheme="minorHAnsi" w:cstheme="minorHAnsi"/>
          <w:bCs/>
          <w:sz w:val="22"/>
          <w:szCs w:val="22"/>
          <w:lang w:val="en-US"/>
        </w:rPr>
        <w:fldChar w:fldCharType="separate"/>
      </w:r>
      <w:r w:rsidR="00696FB3" w:rsidRPr="0083363F">
        <w:rPr>
          <w:rFonts w:asciiTheme="minorHAnsi" w:eastAsiaTheme="minorHAnsi" w:hAnsiTheme="minorHAnsi" w:cstheme="minorHAnsi"/>
          <w:bCs/>
          <w:sz w:val="22"/>
          <w:szCs w:val="22"/>
          <w:cs/>
          <w:lang w:val="en-US"/>
        </w:rPr>
        <w:t>‎</w:t>
      </w:r>
      <w:r w:rsidR="00696FB3" w:rsidRPr="0083363F">
        <w:rPr>
          <w:rFonts w:asciiTheme="minorHAnsi" w:eastAsiaTheme="minorHAnsi" w:hAnsiTheme="minorHAnsi" w:cstheme="minorHAnsi"/>
          <w:bCs/>
          <w:sz w:val="22"/>
          <w:szCs w:val="22"/>
          <w:lang w:val="en-US"/>
        </w:rPr>
        <w:t>[1]</w:t>
      </w:r>
      <w:r w:rsidR="00696FB3" w:rsidRPr="0083363F">
        <w:rPr>
          <w:rFonts w:asciiTheme="minorHAnsi" w:eastAsiaTheme="minorHAnsi" w:hAnsiTheme="minorHAnsi" w:cstheme="minorHAnsi"/>
          <w:bCs/>
          <w:sz w:val="22"/>
          <w:szCs w:val="22"/>
          <w:lang w:val="en-US"/>
        </w:rPr>
        <w:fldChar w:fldCharType="end"/>
      </w:r>
      <w:r w:rsidR="00696FB3" w:rsidRPr="0083363F">
        <w:rPr>
          <w:rFonts w:asciiTheme="minorHAnsi" w:eastAsiaTheme="minorHAnsi" w:hAnsiTheme="minorHAnsi" w:cstheme="minorHAnsi"/>
          <w:bCs/>
          <w:sz w:val="22"/>
          <w:szCs w:val="22"/>
          <w:lang w:val="en-US"/>
        </w:rPr>
        <w:t xml:space="preserve"> </w:t>
      </w:r>
      <w:r w:rsidRPr="0083363F">
        <w:rPr>
          <w:rFonts w:asciiTheme="minorHAnsi" w:eastAsiaTheme="minorHAnsi" w:hAnsiTheme="minorHAnsi" w:cstheme="minorHAnsi"/>
          <w:bCs/>
          <w:sz w:val="22"/>
          <w:szCs w:val="22"/>
          <w:lang w:val="en-US"/>
        </w:rPr>
        <w:t>and has identified technology components that are needed to standardize the NR system</w:t>
      </w:r>
      <w:r w:rsidR="00696FB3" w:rsidRPr="0083363F">
        <w:rPr>
          <w:rFonts w:asciiTheme="minorHAnsi" w:eastAsiaTheme="minorHAnsi" w:hAnsiTheme="minorHAnsi" w:cstheme="minorHAnsi"/>
          <w:bCs/>
          <w:sz w:val="22"/>
          <w:szCs w:val="22"/>
          <w:lang w:val="en-US"/>
        </w:rPr>
        <w:t xml:space="preserve"> </w:t>
      </w:r>
      <w:r w:rsidR="00696FB3" w:rsidRPr="0083363F">
        <w:rPr>
          <w:rFonts w:asciiTheme="minorHAnsi" w:eastAsiaTheme="minorHAnsi" w:hAnsiTheme="minorHAnsi" w:cstheme="minorHAnsi"/>
          <w:bCs/>
          <w:sz w:val="22"/>
          <w:szCs w:val="22"/>
          <w:lang w:val="en-US"/>
        </w:rPr>
        <w:fldChar w:fldCharType="begin"/>
      </w:r>
      <w:r w:rsidR="00696FB3" w:rsidRPr="0083363F">
        <w:rPr>
          <w:rFonts w:asciiTheme="minorHAnsi" w:eastAsiaTheme="minorHAnsi" w:hAnsiTheme="minorHAnsi" w:cstheme="minorHAnsi"/>
          <w:bCs/>
          <w:sz w:val="22"/>
          <w:szCs w:val="22"/>
          <w:lang w:val="en-US"/>
        </w:rPr>
        <w:instrText xml:space="preserve"> REF _Ref490133602 \r \h </w:instrText>
      </w:r>
      <w:r w:rsidR="0083363F">
        <w:rPr>
          <w:rFonts w:asciiTheme="minorHAnsi" w:eastAsiaTheme="minorHAnsi" w:hAnsiTheme="minorHAnsi" w:cstheme="minorHAnsi"/>
          <w:bCs/>
          <w:sz w:val="22"/>
          <w:szCs w:val="22"/>
          <w:lang w:val="en-US"/>
        </w:rPr>
        <w:instrText xml:space="preserve"> \* MERGEFORMAT </w:instrText>
      </w:r>
      <w:r w:rsidR="00696FB3" w:rsidRPr="0083363F">
        <w:rPr>
          <w:rFonts w:asciiTheme="minorHAnsi" w:eastAsiaTheme="minorHAnsi" w:hAnsiTheme="minorHAnsi" w:cstheme="minorHAnsi"/>
          <w:bCs/>
          <w:sz w:val="22"/>
          <w:szCs w:val="22"/>
          <w:lang w:val="en-US"/>
        </w:rPr>
      </w:r>
      <w:r w:rsidR="00696FB3" w:rsidRPr="0083363F">
        <w:rPr>
          <w:rFonts w:asciiTheme="minorHAnsi" w:eastAsiaTheme="minorHAnsi" w:hAnsiTheme="minorHAnsi" w:cstheme="minorHAnsi"/>
          <w:bCs/>
          <w:sz w:val="22"/>
          <w:szCs w:val="22"/>
          <w:lang w:val="en-US"/>
        </w:rPr>
        <w:fldChar w:fldCharType="separate"/>
      </w:r>
      <w:r w:rsidR="00696FB3" w:rsidRPr="0083363F">
        <w:rPr>
          <w:rFonts w:asciiTheme="minorHAnsi" w:eastAsiaTheme="minorHAnsi" w:hAnsiTheme="minorHAnsi" w:cstheme="minorHAnsi"/>
          <w:bCs/>
          <w:sz w:val="22"/>
          <w:szCs w:val="22"/>
          <w:cs/>
          <w:lang w:val="en-US"/>
        </w:rPr>
        <w:t>‎</w:t>
      </w:r>
      <w:r w:rsidR="00696FB3" w:rsidRPr="0083363F">
        <w:rPr>
          <w:rFonts w:asciiTheme="minorHAnsi" w:eastAsiaTheme="minorHAnsi" w:hAnsiTheme="minorHAnsi" w:cstheme="minorHAnsi"/>
          <w:bCs/>
          <w:sz w:val="22"/>
          <w:szCs w:val="22"/>
          <w:lang w:val="en-US"/>
        </w:rPr>
        <w:t>[2]</w:t>
      </w:r>
      <w:r w:rsidR="00696FB3" w:rsidRPr="0083363F">
        <w:rPr>
          <w:rFonts w:asciiTheme="minorHAnsi" w:eastAsiaTheme="minorHAnsi" w:hAnsiTheme="minorHAnsi" w:cstheme="minorHAnsi"/>
          <w:bCs/>
          <w:sz w:val="22"/>
          <w:szCs w:val="22"/>
          <w:lang w:val="en-US"/>
        </w:rPr>
        <w:fldChar w:fldCharType="end"/>
      </w:r>
      <w:r w:rsidRPr="0083363F">
        <w:rPr>
          <w:rFonts w:asciiTheme="minorHAnsi" w:eastAsiaTheme="minorHAnsi" w:hAnsiTheme="minorHAnsi" w:cstheme="minorHAnsi"/>
          <w:bCs/>
          <w:sz w:val="22"/>
          <w:szCs w:val="22"/>
          <w:lang w:val="en-US"/>
        </w:rPr>
        <w:t>. The objective of the work item phase is to specify the NR functionalities for enhanced mobile broadband (eMBB) and ultra-reliable low latency communications (URLLC) considering frequency ranges up to 52.6 GHz and considering forward compatibility and introduction of new technology components for new use cases.</w:t>
      </w:r>
    </w:p>
    <w:p w14:paraId="1728C348" w14:textId="44FC5D4B" w:rsidR="001648CC" w:rsidRPr="0083363F" w:rsidRDefault="001648CC" w:rsidP="00B96259">
      <w:pPr>
        <w:overflowPunct/>
        <w:autoSpaceDE/>
        <w:autoSpaceDN/>
        <w:adjustRightInd/>
        <w:spacing w:after="120" w:line="259" w:lineRule="auto"/>
        <w:jc w:val="both"/>
        <w:textAlignment w:val="auto"/>
        <w:rPr>
          <w:rFonts w:asciiTheme="minorHAnsi" w:eastAsiaTheme="minorHAnsi" w:hAnsiTheme="minorHAnsi" w:cstheme="minorHAnsi"/>
          <w:bCs/>
          <w:sz w:val="22"/>
          <w:szCs w:val="22"/>
          <w:lang w:val="en-US"/>
        </w:rPr>
      </w:pPr>
      <w:r w:rsidRPr="0083363F">
        <w:rPr>
          <w:rFonts w:asciiTheme="minorHAnsi" w:eastAsiaTheme="minorHAnsi" w:hAnsiTheme="minorHAnsi" w:cstheme="minorHAnsi"/>
          <w:bCs/>
          <w:sz w:val="22"/>
          <w:szCs w:val="22"/>
          <w:lang w:val="en-US"/>
        </w:rPr>
        <w:t xml:space="preserve">In this contribution, we discuss the remaining open points </w:t>
      </w:r>
      <w:r w:rsidR="00303F60">
        <w:rPr>
          <w:rFonts w:asciiTheme="minorHAnsi" w:eastAsiaTheme="minorHAnsi" w:hAnsiTheme="minorHAnsi" w:cstheme="minorHAnsi"/>
          <w:bCs/>
          <w:sz w:val="22"/>
          <w:szCs w:val="22"/>
          <w:lang w:val="en-US"/>
        </w:rPr>
        <w:t>of the PRACH formats</w:t>
      </w:r>
      <w:r w:rsidRPr="0083363F">
        <w:rPr>
          <w:rFonts w:asciiTheme="minorHAnsi" w:eastAsiaTheme="minorHAnsi" w:hAnsiTheme="minorHAnsi" w:cstheme="minorHAnsi"/>
          <w:bCs/>
          <w:sz w:val="22"/>
          <w:szCs w:val="22"/>
          <w:lang w:val="en-US"/>
        </w:rPr>
        <w:t>. Specifically, we consider the following points:</w:t>
      </w:r>
    </w:p>
    <w:p w14:paraId="4799BD38" w14:textId="06D4225C" w:rsidR="00303F60" w:rsidRDefault="00303F60" w:rsidP="0083363F">
      <w:pPr>
        <w:pStyle w:val="ListParagraph"/>
        <w:numPr>
          <w:ilvl w:val="0"/>
          <w:numId w:val="30"/>
        </w:numPr>
        <w:spacing w:after="120" w:line="259" w:lineRule="auto"/>
        <w:jc w:val="both"/>
        <w:rPr>
          <w:rFonts w:asciiTheme="minorHAnsi" w:eastAsiaTheme="minorHAnsi" w:hAnsiTheme="minorHAnsi" w:cstheme="minorHAnsi"/>
          <w:bCs/>
          <w:sz w:val="22"/>
          <w:szCs w:val="22"/>
          <w:lang w:val="en-US"/>
        </w:rPr>
      </w:pPr>
      <w:r>
        <w:rPr>
          <w:rFonts w:asciiTheme="minorHAnsi" w:eastAsiaTheme="minorHAnsi" w:hAnsiTheme="minorHAnsi" w:cstheme="minorHAnsi"/>
          <w:bCs/>
          <w:sz w:val="22"/>
          <w:szCs w:val="22"/>
          <w:lang w:val="en-US"/>
        </w:rPr>
        <w:t xml:space="preserve"> Preamble length for the short sequence.</w:t>
      </w:r>
    </w:p>
    <w:p w14:paraId="2D137716" w14:textId="4A94C015" w:rsidR="00303F60" w:rsidRDefault="00303F60" w:rsidP="0083363F">
      <w:pPr>
        <w:pStyle w:val="ListParagraph"/>
        <w:numPr>
          <w:ilvl w:val="0"/>
          <w:numId w:val="30"/>
        </w:numPr>
        <w:spacing w:after="120" w:line="259" w:lineRule="auto"/>
        <w:jc w:val="both"/>
        <w:rPr>
          <w:rFonts w:asciiTheme="minorHAnsi" w:eastAsiaTheme="minorHAnsi" w:hAnsiTheme="minorHAnsi" w:cstheme="minorHAnsi"/>
          <w:bCs/>
          <w:sz w:val="22"/>
          <w:szCs w:val="22"/>
          <w:lang w:val="en-US"/>
        </w:rPr>
      </w:pPr>
      <w:r>
        <w:rPr>
          <w:rFonts w:asciiTheme="minorHAnsi" w:eastAsiaTheme="minorHAnsi" w:hAnsiTheme="minorHAnsi" w:cstheme="minorHAnsi"/>
          <w:bCs/>
          <w:sz w:val="22"/>
          <w:szCs w:val="22"/>
          <w:lang w:val="en-US"/>
        </w:rPr>
        <w:t>Preamble cyclic shifts for long and short sequences.</w:t>
      </w:r>
    </w:p>
    <w:p w14:paraId="48CD39C2" w14:textId="14A79553" w:rsidR="00303F60" w:rsidRPr="00303F60" w:rsidRDefault="00303F60" w:rsidP="00303F60">
      <w:pPr>
        <w:pStyle w:val="ListParagraph"/>
        <w:numPr>
          <w:ilvl w:val="0"/>
          <w:numId w:val="30"/>
        </w:numPr>
        <w:spacing w:after="120" w:line="259" w:lineRule="auto"/>
        <w:jc w:val="both"/>
        <w:rPr>
          <w:rFonts w:asciiTheme="minorHAnsi" w:eastAsiaTheme="minorHAnsi" w:hAnsiTheme="minorHAnsi" w:cstheme="minorHAnsi"/>
          <w:bCs/>
          <w:sz w:val="22"/>
          <w:szCs w:val="22"/>
          <w:lang w:val="en-US"/>
        </w:rPr>
      </w:pPr>
      <w:r>
        <w:rPr>
          <w:rFonts w:asciiTheme="minorHAnsi" w:eastAsiaTheme="minorHAnsi" w:hAnsiTheme="minorHAnsi" w:cstheme="minorHAnsi"/>
          <w:bCs/>
          <w:sz w:val="22"/>
          <w:szCs w:val="22"/>
          <w:lang w:val="en-US"/>
        </w:rPr>
        <w:t>The</w:t>
      </w:r>
      <w:r w:rsidRPr="00303F60">
        <w:rPr>
          <w:rFonts w:asciiTheme="minorHAnsi" w:eastAsiaTheme="minorHAnsi" w:hAnsiTheme="minorHAnsi" w:cstheme="minorHAnsi"/>
          <w:bCs/>
          <w:sz w:val="22"/>
          <w:szCs w:val="22"/>
          <w:lang w:val="en-US"/>
        </w:rPr>
        <w:t xml:space="preserve"> necessity for PRACH capacity enhancement.</w:t>
      </w:r>
    </w:p>
    <w:p w14:paraId="042D9AE1" w14:textId="77777777" w:rsidR="00303F60" w:rsidRPr="00303F60" w:rsidRDefault="00303F60" w:rsidP="00303F60">
      <w:pPr>
        <w:pStyle w:val="ListParagraph"/>
        <w:numPr>
          <w:ilvl w:val="0"/>
          <w:numId w:val="30"/>
        </w:numPr>
        <w:spacing w:after="120" w:line="259" w:lineRule="auto"/>
        <w:jc w:val="both"/>
        <w:rPr>
          <w:rFonts w:asciiTheme="minorHAnsi" w:eastAsiaTheme="minorHAnsi" w:hAnsiTheme="minorHAnsi" w:cstheme="minorHAnsi"/>
          <w:bCs/>
          <w:sz w:val="22"/>
          <w:szCs w:val="22"/>
          <w:lang w:val="en-US"/>
        </w:rPr>
      </w:pPr>
      <w:r w:rsidRPr="00303F60">
        <w:rPr>
          <w:rFonts w:asciiTheme="minorHAnsi" w:eastAsiaTheme="minorHAnsi" w:hAnsiTheme="minorHAnsi" w:cstheme="minorHAnsi"/>
          <w:bCs/>
          <w:sz w:val="22"/>
          <w:szCs w:val="22"/>
          <w:lang w:val="en-US"/>
        </w:rPr>
        <w:t>Solutions for PRACH capacity enhancement.</w:t>
      </w:r>
    </w:p>
    <w:p w14:paraId="3D947C1E" w14:textId="77777777" w:rsidR="00303F60" w:rsidRPr="0083363F" w:rsidRDefault="00303F60" w:rsidP="008170C3">
      <w:pPr>
        <w:pStyle w:val="ListParagraph"/>
        <w:spacing w:after="120" w:line="259" w:lineRule="auto"/>
        <w:jc w:val="both"/>
        <w:rPr>
          <w:rFonts w:asciiTheme="minorHAnsi" w:eastAsiaTheme="minorHAnsi" w:hAnsiTheme="minorHAnsi" w:cstheme="minorHAnsi"/>
          <w:bCs/>
          <w:sz w:val="22"/>
          <w:szCs w:val="22"/>
          <w:lang w:val="en-US"/>
        </w:rPr>
      </w:pPr>
    </w:p>
    <w:p w14:paraId="1DB60EA8" w14:textId="0D714D0D" w:rsidR="004B23AD" w:rsidRDefault="008D4B8A" w:rsidP="004B23AD">
      <w:pPr>
        <w:pStyle w:val="Heading1"/>
      </w:pPr>
      <w:r>
        <w:rPr>
          <w:color w:val="000000"/>
        </w:rPr>
        <w:t>2</w:t>
      </w:r>
      <w:r w:rsidR="004B23AD" w:rsidRPr="00A51522">
        <w:rPr>
          <w:color w:val="000000"/>
        </w:rPr>
        <w:tab/>
      </w:r>
      <w:r w:rsidR="00303F60">
        <w:t>Preamble Design</w:t>
      </w:r>
    </w:p>
    <w:p w14:paraId="25FF396D" w14:textId="5FDA3742" w:rsidR="00303F60" w:rsidRDefault="00303F60" w:rsidP="00303F60">
      <w:pPr>
        <w:pStyle w:val="Heading2"/>
      </w:pPr>
      <w:r>
        <w:t>2.1</w:t>
      </w:r>
      <w:r>
        <w:tab/>
        <w:t>Short Sequence Length</w:t>
      </w:r>
    </w:p>
    <w:p w14:paraId="4B4AD97F" w14:textId="77777777" w:rsidR="00303F60" w:rsidRPr="00A5159E" w:rsidRDefault="00303F60" w:rsidP="00303F60">
      <w:pPr>
        <w:jc w:val="both"/>
        <w:rPr>
          <w:bCs/>
        </w:rPr>
      </w:pPr>
      <w:r w:rsidRPr="00A5159E">
        <w:rPr>
          <w:bCs/>
        </w:rPr>
        <w:t>Per RAN1#89 length of short sequence is to be selected from 127 and 139. Motivation to have 127 instead of 139 is to enable m-sequence based cover code to increase PRACH capacity. However, as resulting PAPR could be significantly higher than with pure ZC based signatures we prefer to use ZC sequence and length 139.</w:t>
      </w:r>
    </w:p>
    <w:p w14:paraId="1186C13E" w14:textId="37CCEC9B" w:rsidR="00303F60" w:rsidRPr="00A5159E" w:rsidRDefault="00303F60" w:rsidP="00303F60">
      <w:r w:rsidRPr="00A5159E">
        <w:rPr>
          <w:b/>
          <w:bCs/>
          <w:i/>
          <w:szCs w:val="12"/>
        </w:rPr>
        <w:t xml:space="preserve">Proposal </w:t>
      </w:r>
      <w:r>
        <w:rPr>
          <w:b/>
          <w:bCs/>
          <w:i/>
          <w:szCs w:val="12"/>
        </w:rPr>
        <w:t>1</w:t>
      </w:r>
      <w:r w:rsidRPr="00A5159E">
        <w:rPr>
          <w:b/>
          <w:bCs/>
          <w:i/>
          <w:szCs w:val="12"/>
        </w:rPr>
        <w:t>: Support 139 sequence length for short RACH preamble sequence.</w:t>
      </w:r>
    </w:p>
    <w:p w14:paraId="117E27AC" w14:textId="57476460" w:rsidR="00303F60" w:rsidRDefault="00303F60" w:rsidP="00303F60">
      <w:pPr>
        <w:pStyle w:val="Heading2"/>
      </w:pPr>
      <w:r>
        <w:t>2.2</w:t>
      </w:r>
      <w:r>
        <w:tab/>
        <w:t>Preamble cyclic shifts for long sequences</w:t>
      </w:r>
    </w:p>
    <w:p w14:paraId="68E290B6" w14:textId="7C196759" w:rsidR="00303F60" w:rsidRDefault="00A73B26" w:rsidP="00303F60">
      <w:r>
        <w:t>RAN1#90 made the following agreements related to preamble cyclic shifts for long sequences:</w:t>
      </w:r>
    </w:p>
    <w:tbl>
      <w:tblPr>
        <w:tblStyle w:val="TableGrid"/>
        <w:tblW w:w="0" w:type="auto"/>
        <w:tblLook w:val="04A0" w:firstRow="1" w:lastRow="0" w:firstColumn="1" w:lastColumn="0" w:noHBand="0" w:noVBand="1"/>
      </w:tblPr>
      <w:tblGrid>
        <w:gridCol w:w="9629"/>
      </w:tblGrid>
      <w:tr w:rsidR="00A73B26" w14:paraId="61583B5B" w14:textId="77777777" w:rsidTr="00A73B26">
        <w:tc>
          <w:tcPr>
            <w:tcW w:w="9629" w:type="dxa"/>
          </w:tcPr>
          <w:p w14:paraId="37351207" w14:textId="77777777" w:rsidR="00A73B26" w:rsidRPr="00A73B26" w:rsidRDefault="008A350A" w:rsidP="00A73B26">
            <w:pPr>
              <w:tabs>
                <w:tab w:val="left" w:pos="1440"/>
              </w:tabs>
              <w:overflowPunct/>
              <w:autoSpaceDE/>
              <w:autoSpaceDN/>
              <w:adjustRightInd/>
              <w:spacing w:after="0"/>
              <w:ind w:left="1440" w:hanging="1440"/>
              <w:textAlignment w:val="auto"/>
              <w:rPr>
                <w:rFonts w:ascii="Times" w:eastAsia="MS Mincho" w:hAnsi="Times"/>
                <w:szCs w:val="24"/>
                <w:lang w:val="en-US" w:eastAsia="ja-JP"/>
              </w:rPr>
            </w:pPr>
            <w:hyperlink r:id="rId12" w:history="1">
              <w:r w:rsidR="00A73B26" w:rsidRPr="00A73B26">
                <w:rPr>
                  <w:rFonts w:ascii="Times" w:eastAsia="MS Mincho" w:hAnsi="Times"/>
                  <w:b/>
                  <w:color w:val="0000FF"/>
                  <w:szCs w:val="24"/>
                  <w:u w:val="single"/>
                  <w:lang w:eastAsia="ja-JP"/>
                </w:rPr>
                <w:t>R1-1714801</w:t>
              </w:r>
            </w:hyperlink>
            <w:r w:rsidR="00A73B26" w:rsidRPr="00A73B26">
              <w:rPr>
                <w:rFonts w:ascii="Times" w:eastAsia="MS Mincho" w:hAnsi="Times"/>
                <w:b/>
                <w:szCs w:val="24"/>
                <w:lang w:eastAsia="ja-JP"/>
              </w:rPr>
              <w:tab/>
            </w:r>
            <w:r w:rsidR="00A73B26" w:rsidRPr="00A73B26">
              <w:rPr>
                <w:rFonts w:ascii="Times" w:eastAsia="MS Mincho" w:hAnsi="Times"/>
                <w:szCs w:val="24"/>
                <w:lang w:eastAsia="ja-JP"/>
              </w:rPr>
              <w:t>Ncs for Preamble Generation for PRACH Preamble Format 0-3</w:t>
            </w:r>
            <w:r w:rsidR="00A73B26" w:rsidRPr="00A73B26">
              <w:rPr>
                <w:rFonts w:ascii="Times" w:eastAsia="MS Mincho" w:hAnsi="Times"/>
                <w:szCs w:val="24"/>
                <w:lang w:eastAsia="ja-JP"/>
              </w:rPr>
              <w:tab/>
            </w:r>
            <w:r w:rsidR="00A73B26" w:rsidRPr="00A73B26">
              <w:rPr>
                <w:rFonts w:ascii="Times" w:eastAsia="MS Mincho" w:hAnsi="Times"/>
                <w:szCs w:val="24"/>
                <w:lang w:val="en-US" w:eastAsia="ja-JP"/>
              </w:rPr>
              <w:t>LG Electronics, ZTE, InterDigital, NTT DOCOMO</w:t>
            </w:r>
          </w:p>
          <w:p w14:paraId="0A01593C" w14:textId="77777777" w:rsidR="00A73B26" w:rsidRPr="00A73B26" w:rsidRDefault="00A73B26" w:rsidP="00A73B26">
            <w:pPr>
              <w:tabs>
                <w:tab w:val="left" w:pos="1440"/>
              </w:tabs>
              <w:overflowPunct/>
              <w:autoSpaceDE/>
              <w:autoSpaceDN/>
              <w:adjustRightInd/>
              <w:spacing w:after="0"/>
              <w:ind w:left="1440" w:hanging="1440"/>
              <w:textAlignment w:val="auto"/>
              <w:rPr>
                <w:rFonts w:ascii="Times" w:eastAsia="MS Mincho" w:hAnsi="Times"/>
                <w:b/>
                <w:szCs w:val="24"/>
                <w:highlight w:val="yellow"/>
                <w:u w:val="single"/>
                <w:lang w:val="en-US" w:eastAsia="ja-JP"/>
              </w:rPr>
            </w:pPr>
            <w:r w:rsidRPr="00A73B26">
              <w:rPr>
                <w:rFonts w:ascii="Times" w:eastAsia="MS Mincho" w:hAnsi="Times"/>
                <w:b/>
                <w:szCs w:val="24"/>
                <w:highlight w:val="green"/>
                <w:u w:val="single"/>
                <w:lang w:val="en-US" w:eastAsia="ja-JP"/>
              </w:rPr>
              <w:t>Agreements:</w:t>
            </w:r>
          </w:p>
          <w:p w14:paraId="70C8F93C" w14:textId="77777777" w:rsidR="00A73B26" w:rsidRPr="00A73B26" w:rsidRDefault="00A73B26" w:rsidP="00A73B26">
            <w:pPr>
              <w:numPr>
                <w:ilvl w:val="0"/>
                <w:numId w:val="41"/>
              </w:numPr>
              <w:tabs>
                <w:tab w:val="left" w:pos="1440"/>
              </w:tabs>
              <w:overflowPunct/>
              <w:autoSpaceDE/>
              <w:autoSpaceDN/>
              <w:adjustRightInd/>
              <w:spacing w:after="0"/>
              <w:textAlignment w:val="auto"/>
              <w:rPr>
                <w:rFonts w:ascii="Times" w:eastAsia="MS Mincho" w:hAnsi="Times"/>
                <w:szCs w:val="24"/>
                <w:lang w:val="en-US" w:eastAsia="ja-JP"/>
              </w:rPr>
            </w:pPr>
            <w:r w:rsidRPr="00A73B26">
              <w:rPr>
                <w:rFonts w:ascii="Times" w:eastAsia="MS Mincho" w:hAnsi="Times"/>
                <w:szCs w:val="24"/>
                <w:lang w:val="en-US" w:eastAsia="ja-JP"/>
              </w:rPr>
              <w:t>Same cyclic shift values as defined in LTE is applied for NR PRACH preamble format 0 and 1.</w:t>
            </w:r>
          </w:p>
          <w:p w14:paraId="690E539A" w14:textId="77777777" w:rsidR="00A73B26" w:rsidRPr="00A73B26" w:rsidRDefault="00A73B26" w:rsidP="00A73B26">
            <w:pPr>
              <w:numPr>
                <w:ilvl w:val="0"/>
                <w:numId w:val="41"/>
              </w:numPr>
              <w:tabs>
                <w:tab w:val="left" w:pos="1440"/>
              </w:tabs>
              <w:overflowPunct/>
              <w:autoSpaceDE/>
              <w:autoSpaceDN/>
              <w:adjustRightInd/>
              <w:spacing w:after="0"/>
              <w:textAlignment w:val="auto"/>
              <w:rPr>
                <w:rFonts w:ascii="Times" w:eastAsia="MS Mincho" w:hAnsi="Times"/>
                <w:szCs w:val="24"/>
                <w:lang w:val="en-US" w:eastAsia="ja-JP"/>
              </w:rPr>
            </w:pPr>
            <w:r w:rsidRPr="00A73B26">
              <w:rPr>
                <w:rFonts w:ascii="Times" w:eastAsia="MS Mincho" w:hAnsi="Times"/>
                <w:szCs w:val="24"/>
                <w:lang w:val="en-US" w:eastAsia="ja-JP"/>
              </w:rPr>
              <w:t>FFS: Whether same cyclic shift values as defined in LTE can be applied for NR PRACH preamble format 2 and 3, considering parameters (e.g. delay spread, guard time, filter length, etc.)</w:t>
            </w:r>
          </w:p>
          <w:p w14:paraId="16B964AF" w14:textId="77777777" w:rsidR="00A73B26" w:rsidRPr="00B737F4" w:rsidRDefault="00A73B26" w:rsidP="00303F60">
            <w:pPr>
              <w:rPr>
                <w:lang w:val="en-US"/>
              </w:rPr>
            </w:pPr>
          </w:p>
        </w:tc>
      </w:tr>
    </w:tbl>
    <w:p w14:paraId="759EC175" w14:textId="7D1FDE68" w:rsidR="00A73B26" w:rsidRDefault="00A73B26" w:rsidP="00303F60"/>
    <w:p w14:paraId="4AA437CA" w14:textId="64F28C3A" w:rsidR="000C5B3B" w:rsidRDefault="000C5B3B" w:rsidP="00303F60">
      <w:r>
        <w:t xml:space="preserve">We consider that format 2 should have the same cyclic shift values as defined for format 0 and 1. Reasoning is that CP and GP values are relatively close to format 0. </w:t>
      </w:r>
    </w:p>
    <w:p w14:paraId="05692F8A" w14:textId="12FD3D0D" w:rsidR="00A73B26" w:rsidRDefault="00B64489" w:rsidP="00303F60">
      <w:r>
        <w:rPr>
          <w:b/>
          <w:i/>
        </w:rPr>
        <w:t>Proposal</w:t>
      </w:r>
      <w:r w:rsidR="008170C3">
        <w:rPr>
          <w:b/>
          <w:i/>
        </w:rPr>
        <w:t xml:space="preserve"> 2</w:t>
      </w:r>
      <w:r>
        <w:rPr>
          <w:b/>
          <w:i/>
        </w:rPr>
        <w:t>: Use the same cyclic shift values as defined for format 0 and 1 for NR PRACH preamble format 2.</w:t>
      </w:r>
    </w:p>
    <w:p w14:paraId="418ACFCB" w14:textId="64F962D5" w:rsidR="007462FA" w:rsidRDefault="00262F6F" w:rsidP="00303F60">
      <w:r>
        <w:lastRenderedPageBreak/>
        <w:fldChar w:fldCharType="begin"/>
      </w:r>
      <w:r>
        <w:instrText xml:space="preserve"> REF _Ref492644215 \h </w:instrText>
      </w:r>
      <w:r>
        <w:fldChar w:fldCharType="separate"/>
      </w:r>
      <w:r>
        <w:t xml:space="preserve">Table </w:t>
      </w:r>
      <w:r>
        <w:rPr>
          <w:noProof/>
        </w:rPr>
        <w:t>1</w:t>
      </w:r>
      <w:r>
        <w:fldChar w:fldCharType="end"/>
      </w:r>
      <w:r>
        <w:t xml:space="preserve"> illustrates the cyclic shift values for format 3</w:t>
      </w:r>
      <w:r w:rsidR="00B85DD2">
        <w:t xml:space="preserve"> when assuming two different delay spread assumptions: 5.2 and 2.6 us. Cyclic shift values providing at least 400 m max cell radius are highlighted. </w:t>
      </w:r>
      <w:r>
        <w:t xml:space="preserve">  </w:t>
      </w:r>
    </w:p>
    <w:p w14:paraId="6BA00F1B" w14:textId="1F4F3BA6" w:rsidR="00262F6F" w:rsidRDefault="00262F6F" w:rsidP="00262F6F">
      <w:pPr>
        <w:pStyle w:val="Caption"/>
      </w:pPr>
      <w:bookmarkStart w:id="5" w:name="_Ref492644215"/>
      <w:r>
        <w:t xml:space="preserve">Table </w:t>
      </w:r>
      <w:r w:rsidR="008733B1">
        <w:fldChar w:fldCharType="begin"/>
      </w:r>
      <w:r w:rsidR="008733B1">
        <w:instrText xml:space="preserve"> SEQ Table \* ARABIC </w:instrText>
      </w:r>
      <w:r w:rsidR="008733B1">
        <w:fldChar w:fldCharType="separate"/>
      </w:r>
      <w:r w:rsidR="00AA750D">
        <w:rPr>
          <w:noProof/>
        </w:rPr>
        <w:t>1</w:t>
      </w:r>
      <w:r w:rsidR="008733B1">
        <w:rPr>
          <w:noProof/>
        </w:rPr>
        <w:fldChar w:fldCharType="end"/>
      </w:r>
      <w:bookmarkEnd w:id="5"/>
      <w:r w:rsidRPr="00262F6F">
        <w:rPr>
          <w:lang w:val="en-US"/>
        </w:rPr>
        <w:t xml:space="preserve"> Cyclic shift values for format 3</w:t>
      </w:r>
    </w:p>
    <w:p w14:paraId="7584E51B" w14:textId="5568A222" w:rsidR="007462FA" w:rsidRPr="002D3816" w:rsidRDefault="00B85DD2" w:rsidP="00262F6F">
      <w:pPr>
        <w:jc w:val="center"/>
        <w:rPr>
          <w:b/>
        </w:rPr>
      </w:pPr>
      <w:r w:rsidRPr="00B85DD2">
        <w:rPr>
          <w:noProof/>
        </w:rPr>
        <w:drawing>
          <wp:inline distT="0" distB="0" distL="0" distR="0" wp14:anchorId="468F7DEA" wp14:editId="6FCC6917">
            <wp:extent cx="6120765" cy="2602190"/>
            <wp:effectExtent l="0" t="0" r="0" b="825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765" cy="2602190"/>
                    </a:xfrm>
                    <a:prstGeom prst="rect">
                      <a:avLst/>
                    </a:prstGeom>
                    <a:noFill/>
                    <a:ln>
                      <a:noFill/>
                    </a:ln>
                  </pic:spPr>
                </pic:pic>
              </a:graphicData>
            </a:graphic>
          </wp:inline>
        </w:drawing>
      </w:r>
    </w:p>
    <w:p w14:paraId="660E0C78" w14:textId="0EDEA464" w:rsidR="00262F6F" w:rsidRPr="005340E6" w:rsidRDefault="005340E6" w:rsidP="00262F6F">
      <w:pPr>
        <w:rPr>
          <w:b/>
          <w:i/>
        </w:rPr>
      </w:pPr>
      <w:r>
        <w:rPr>
          <w:b/>
          <w:i/>
        </w:rPr>
        <w:t>Proposal</w:t>
      </w:r>
      <w:r w:rsidR="006408B1">
        <w:rPr>
          <w:b/>
          <w:i/>
        </w:rPr>
        <w:t xml:space="preserve"> 3</w:t>
      </w:r>
      <w:r>
        <w:rPr>
          <w:b/>
          <w:i/>
        </w:rPr>
        <w:t xml:space="preserve">: </w:t>
      </w:r>
      <w:r w:rsidR="00B85DD2">
        <w:rPr>
          <w:b/>
          <w:i/>
        </w:rPr>
        <w:t>Support cyclic values highlighted in Table 1 for format 3.</w:t>
      </w:r>
    </w:p>
    <w:p w14:paraId="646BDA2E" w14:textId="1F3241AB" w:rsidR="00303F60" w:rsidRPr="00303F60" w:rsidRDefault="00303F60" w:rsidP="00303F60">
      <w:pPr>
        <w:pStyle w:val="Heading2"/>
      </w:pPr>
      <w:r>
        <w:t>2.3</w:t>
      </w:r>
      <w:r>
        <w:tab/>
        <w:t>Preamble cyclic shifts for short sequence</w:t>
      </w:r>
    </w:p>
    <w:p w14:paraId="7C2C9F10" w14:textId="5049DE9B" w:rsidR="00303F60" w:rsidRDefault="004B7A23" w:rsidP="00303F60">
      <w:r>
        <w:t xml:space="preserve">For short </w:t>
      </w:r>
      <w:r w:rsidR="0037085E">
        <w:t>sequence,</w:t>
      </w:r>
      <w:r>
        <w:t xml:space="preserve"> we reuse </w:t>
      </w:r>
      <w:r w:rsidR="0076762A" w:rsidRPr="0076762A">
        <w:rPr>
          <w:i/>
        </w:rPr>
        <w:t>N</w:t>
      </w:r>
      <w:r w:rsidR="0076762A" w:rsidRPr="0076762A">
        <w:rPr>
          <w:i/>
          <w:vertAlign w:val="subscript"/>
        </w:rPr>
        <w:t>CS</w:t>
      </w:r>
      <w:r w:rsidR="0076762A">
        <w:t xml:space="preserve"> </w:t>
      </w:r>
      <w:r w:rsidR="004453BC">
        <w:t xml:space="preserve">values </w:t>
      </w:r>
      <w:r>
        <w:t>from</w:t>
      </w:r>
      <w:r w:rsidR="004453BC">
        <w:t xml:space="preserve"> LTE PRACH format 4</w:t>
      </w:r>
      <w:r w:rsidR="0076762A">
        <w:t xml:space="preserve"> </w:t>
      </w:r>
      <w:r w:rsidR="0076762A" w:rsidRPr="00AA750D">
        <w:t>[</w:t>
      </w:r>
      <w:r w:rsidR="00AA750D" w:rsidRPr="00AA750D">
        <w:t>4</w:t>
      </w:r>
      <w:r w:rsidR="0076762A" w:rsidRPr="00AA750D">
        <w:t>]</w:t>
      </w:r>
      <w:r>
        <w:t xml:space="preserve"> and add three additional values 19, 27 and 46.</w:t>
      </w:r>
      <w:r w:rsidR="0076762A">
        <w:t xml:space="preserve"> </w:t>
      </w:r>
      <w:r w:rsidR="00B21ECF">
        <w:fldChar w:fldCharType="begin"/>
      </w:r>
      <w:r w:rsidR="00B21ECF">
        <w:instrText xml:space="preserve"> REF _Ref492653905 \h </w:instrText>
      </w:r>
      <w:r w:rsidR="00B21ECF">
        <w:fldChar w:fldCharType="separate"/>
      </w:r>
      <w:r w:rsidR="00B21ECF">
        <w:t xml:space="preserve">Table </w:t>
      </w:r>
      <w:r w:rsidR="00B21ECF">
        <w:rPr>
          <w:noProof/>
        </w:rPr>
        <w:t>2</w:t>
      </w:r>
      <w:r w:rsidR="00B21ECF">
        <w:fldChar w:fldCharType="end"/>
      </w:r>
      <w:r w:rsidR="00B21ECF">
        <w:t xml:space="preserve"> illustrates cyclic shift values for short sequence assuming 15 kHz and 30 kHz SCS and two different delay spread assumptions per SCS. Then in </w:t>
      </w:r>
      <w:r w:rsidR="00B21ECF">
        <w:fldChar w:fldCharType="begin"/>
      </w:r>
      <w:r w:rsidR="00B21ECF">
        <w:instrText xml:space="preserve"> REF _Ref492653908 \h </w:instrText>
      </w:r>
      <w:r w:rsidR="00B21ECF">
        <w:fldChar w:fldCharType="separate"/>
      </w:r>
      <w:r w:rsidR="00B21ECF">
        <w:t xml:space="preserve">Table </w:t>
      </w:r>
      <w:r w:rsidR="00B21ECF">
        <w:rPr>
          <w:noProof/>
        </w:rPr>
        <w:t>3</w:t>
      </w:r>
      <w:r w:rsidR="00B21ECF">
        <w:fldChar w:fldCharType="end"/>
      </w:r>
      <w:r w:rsidR="00B21ECF">
        <w:t xml:space="preserve"> we provide cyclic shift values for short sequence assuming 60 kHz and 120 kHz SCS and two different delay spread assumptions per SCS.</w:t>
      </w:r>
      <w:r w:rsidR="001C32B5">
        <w:t xml:space="preserve"> </w:t>
      </w:r>
    </w:p>
    <w:p w14:paraId="4E2C942F" w14:textId="707CD7B9" w:rsidR="00DF0E32" w:rsidRDefault="00DF0E32" w:rsidP="00303F60">
      <w:r>
        <w:t xml:space="preserve">With 15 kHz SCS max cell radius is up to 2.5 km with 5.2 us delay spread (A1-A4, B1-B4 formats) and 3.1 km with 1.5 us DS (A0 format). </w:t>
      </w:r>
    </w:p>
    <w:p w14:paraId="0DD5DF8E" w14:textId="342C55CF" w:rsidR="00DF0E32" w:rsidRDefault="00DF0E32" w:rsidP="00DF0E32">
      <w:r>
        <w:t xml:space="preserve">With 30 kHz SCS max cell radius is up to 2.5 km with 2.6 us delay spread (A1-A4, B1-B4 formats) and 3.1 km with 0.75 us DS (A0 format). </w:t>
      </w:r>
    </w:p>
    <w:p w14:paraId="60EDF1EC" w14:textId="0783269B" w:rsidR="00DF0E32" w:rsidRDefault="00DF0E32" w:rsidP="00DF0E32">
      <w:r>
        <w:t xml:space="preserve">With 60 kHz SCS max cell radius is up to 2.5 km with 1.3 us delay spread (A1-A4, B1-B4 formats) and 3.1 km with 0.38 us DS (A0 format). </w:t>
      </w:r>
    </w:p>
    <w:p w14:paraId="2366D270" w14:textId="3A1FC138" w:rsidR="00DF0E32" w:rsidRDefault="00DF0E32" w:rsidP="00DF0E32">
      <w:r>
        <w:t xml:space="preserve">With 120 kHz SCS max cell radius is up to 2.5 km with 0.65 us delay spread (A1-A4, B1-B4 formats) and 3.1 km with 0.19 us DS (A0 format). </w:t>
      </w:r>
    </w:p>
    <w:p w14:paraId="67BF2D16" w14:textId="77777777" w:rsidR="00852CD0" w:rsidRPr="006A2E9B" w:rsidRDefault="00852CD0">
      <w:pPr>
        <w:rPr>
          <w:lang w:val="x-none" w:eastAsia="x-none"/>
        </w:rPr>
      </w:pPr>
    </w:p>
    <w:p w14:paraId="0DC08B20" w14:textId="11AC23B7" w:rsidR="00AA750D" w:rsidRPr="00AA750D" w:rsidRDefault="00AA750D" w:rsidP="00AA750D">
      <w:pPr>
        <w:pStyle w:val="Caption"/>
        <w:rPr>
          <w:lang w:val="en-US"/>
        </w:rPr>
      </w:pPr>
      <w:bookmarkStart w:id="6" w:name="_Ref492653905"/>
      <w:r>
        <w:t xml:space="preserve">Table </w:t>
      </w:r>
      <w:r w:rsidR="008733B1">
        <w:fldChar w:fldCharType="begin"/>
      </w:r>
      <w:r w:rsidR="008733B1">
        <w:instrText xml:space="preserve"> SEQ Table \* ARABIC </w:instrText>
      </w:r>
      <w:r w:rsidR="008733B1">
        <w:fldChar w:fldCharType="separate"/>
      </w:r>
      <w:r>
        <w:rPr>
          <w:noProof/>
        </w:rPr>
        <w:t>2</w:t>
      </w:r>
      <w:r w:rsidR="008733B1">
        <w:rPr>
          <w:noProof/>
        </w:rPr>
        <w:fldChar w:fldCharType="end"/>
      </w:r>
      <w:bookmarkEnd w:id="6"/>
      <w:r w:rsidRPr="00AA750D">
        <w:rPr>
          <w:lang w:val="en-US"/>
        </w:rPr>
        <w:t xml:space="preserve"> </w:t>
      </w:r>
      <w:r>
        <w:rPr>
          <w:lang w:val="en-US"/>
        </w:rPr>
        <w:t>Cyclic shift values for short sequence</w:t>
      </w:r>
      <w:r w:rsidR="000C5B3B">
        <w:rPr>
          <w:lang w:val="en-US"/>
        </w:rPr>
        <w:t xml:space="preserve"> using 15 kHz and 30 kHz SCs and with two different delay spread assumptions per SCS</w:t>
      </w:r>
    </w:p>
    <w:p w14:paraId="42B260C0" w14:textId="79E0A031" w:rsidR="00AA750D" w:rsidRDefault="008E1882" w:rsidP="00B21ECF">
      <w:pPr>
        <w:jc w:val="center"/>
      </w:pPr>
      <w:r w:rsidRPr="008E1882">
        <w:rPr>
          <w:noProof/>
        </w:rPr>
        <w:lastRenderedPageBreak/>
        <w:drawing>
          <wp:inline distT="0" distB="0" distL="0" distR="0" wp14:anchorId="03F54830" wp14:editId="286CCE6E">
            <wp:extent cx="6120765" cy="25222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765" cy="2522260"/>
                    </a:xfrm>
                    <a:prstGeom prst="rect">
                      <a:avLst/>
                    </a:prstGeom>
                    <a:noFill/>
                    <a:ln>
                      <a:noFill/>
                    </a:ln>
                  </pic:spPr>
                </pic:pic>
              </a:graphicData>
            </a:graphic>
          </wp:inline>
        </w:drawing>
      </w:r>
    </w:p>
    <w:p w14:paraId="64F75B5D" w14:textId="32306F5B" w:rsidR="00AA750D" w:rsidRDefault="00AA750D" w:rsidP="00AA750D"/>
    <w:p w14:paraId="23C2F3C7" w14:textId="7803184F" w:rsidR="000C5B3B" w:rsidRPr="00AA750D" w:rsidRDefault="000C5B3B" w:rsidP="000C5B3B">
      <w:pPr>
        <w:pStyle w:val="Caption"/>
        <w:rPr>
          <w:lang w:val="en-US"/>
        </w:rPr>
      </w:pPr>
      <w:bookmarkStart w:id="7" w:name="_Ref492653908"/>
      <w:r>
        <w:t xml:space="preserve">Table </w:t>
      </w:r>
      <w:r>
        <w:fldChar w:fldCharType="begin"/>
      </w:r>
      <w:r>
        <w:instrText xml:space="preserve"> SEQ Table \* ARABIC </w:instrText>
      </w:r>
      <w:r>
        <w:fldChar w:fldCharType="separate"/>
      </w:r>
      <w:r w:rsidR="00B21ECF">
        <w:rPr>
          <w:noProof/>
        </w:rPr>
        <w:t>3</w:t>
      </w:r>
      <w:r>
        <w:rPr>
          <w:noProof/>
        </w:rPr>
        <w:fldChar w:fldCharType="end"/>
      </w:r>
      <w:bookmarkEnd w:id="7"/>
      <w:r w:rsidRPr="00AA750D">
        <w:rPr>
          <w:lang w:val="en-US"/>
        </w:rPr>
        <w:t xml:space="preserve"> </w:t>
      </w:r>
      <w:r>
        <w:rPr>
          <w:lang w:val="en-US"/>
        </w:rPr>
        <w:t>Cyclic shift values for short sequence using 60 kHz and 120 kHz SCs and with two different delay spread assumptions per SCS</w:t>
      </w:r>
    </w:p>
    <w:p w14:paraId="072CC749" w14:textId="396E5F6D" w:rsidR="000C5B3B" w:rsidRDefault="008E1882" w:rsidP="00B21ECF">
      <w:pPr>
        <w:jc w:val="center"/>
      </w:pPr>
      <w:r w:rsidRPr="008E1882">
        <w:rPr>
          <w:noProof/>
        </w:rPr>
        <w:drawing>
          <wp:inline distT="0" distB="0" distL="0" distR="0" wp14:anchorId="7923A766" wp14:editId="416A2C4F">
            <wp:extent cx="6120765" cy="252226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765" cy="2522260"/>
                    </a:xfrm>
                    <a:prstGeom prst="rect">
                      <a:avLst/>
                    </a:prstGeom>
                    <a:noFill/>
                    <a:ln>
                      <a:noFill/>
                    </a:ln>
                  </pic:spPr>
                </pic:pic>
              </a:graphicData>
            </a:graphic>
          </wp:inline>
        </w:drawing>
      </w:r>
    </w:p>
    <w:p w14:paraId="36FE0328" w14:textId="5A4FBA87" w:rsidR="005340E6" w:rsidRDefault="005340E6" w:rsidP="00AA750D">
      <w:r>
        <w:rPr>
          <w:b/>
          <w:i/>
        </w:rPr>
        <w:t>Proposal</w:t>
      </w:r>
      <w:r w:rsidR="006408B1">
        <w:rPr>
          <w:b/>
          <w:i/>
        </w:rPr>
        <w:t xml:space="preserve"> 4</w:t>
      </w:r>
      <w:r>
        <w:rPr>
          <w:b/>
          <w:i/>
        </w:rPr>
        <w:t xml:space="preserve">: </w:t>
      </w:r>
      <w:r w:rsidR="001464C6">
        <w:rPr>
          <w:b/>
          <w:i/>
        </w:rPr>
        <w:t xml:space="preserve">Support cyclic values highlighted in Table </w:t>
      </w:r>
      <w:r w:rsidR="004948ED">
        <w:rPr>
          <w:b/>
          <w:i/>
        </w:rPr>
        <w:t>2 and Table 3</w:t>
      </w:r>
      <w:r w:rsidR="001464C6">
        <w:rPr>
          <w:b/>
          <w:i/>
        </w:rPr>
        <w:t xml:space="preserve"> for format short sequences.</w:t>
      </w:r>
    </w:p>
    <w:p w14:paraId="724E5E02" w14:textId="790B3E8B" w:rsidR="00303F60" w:rsidRDefault="00303F60" w:rsidP="00303F60">
      <w:pPr>
        <w:pStyle w:val="Heading1"/>
      </w:pPr>
      <w:r>
        <w:t>3</w:t>
      </w:r>
      <w:r>
        <w:tab/>
        <w:t>On Necessity for PRACH capacity enhancement</w:t>
      </w:r>
    </w:p>
    <w:p w14:paraId="4379679D" w14:textId="77777777" w:rsidR="00303F60" w:rsidRPr="00C54D7C" w:rsidRDefault="00303F60" w:rsidP="00303F60">
      <w:r w:rsidRPr="00C54D7C">
        <w:t xml:space="preserve">In this section, we consider </w:t>
      </w:r>
      <w:r>
        <w:t>the necessity for PRACH capacity enhancement.</w:t>
      </w:r>
    </w:p>
    <w:p w14:paraId="2388D9AA" w14:textId="77777777" w:rsidR="00303F60" w:rsidRDefault="00303F60" w:rsidP="00303F60">
      <w:r w:rsidRPr="00C54D7C">
        <w:t xml:space="preserve">To help guide the discussion, we consider </w:t>
      </w:r>
      <w:r>
        <w:t>three types of PRACH sequences:</w:t>
      </w:r>
    </w:p>
    <w:p w14:paraId="54130A40" w14:textId="77777777" w:rsidR="00303F60" w:rsidRDefault="00303F60" w:rsidP="00303F60">
      <w:pPr>
        <w:pStyle w:val="ListParagraph"/>
        <w:numPr>
          <w:ilvl w:val="0"/>
          <w:numId w:val="36"/>
        </w:numPr>
        <w:spacing w:line="259" w:lineRule="auto"/>
        <w:rPr>
          <w:sz w:val="20"/>
          <w:szCs w:val="20"/>
          <w:lang w:val="en-GB"/>
        </w:rPr>
      </w:pPr>
      <w:r>
        <w:rPr>
          <w:sz w:val="20"/>
          <w:szCs w:val="20"/>
          <w:lang w:val="en-GB"/>
        </w:rPr>
        <w:t>Long sequence (L=839), with subcarrier spacing 1.25 KHz</w:t>
      </w:r>
    </w:p>
    <w:p w14:paraId="797D1BA1" w14:textId="77777777" w:rsidR="00303F60" w:rsidRDefault="00303F60" w:rsidP="00303F60">
      <w:pPr>
        <w:pStyle w:val="ListParagraph"/>
        <w:numPr>
          <w:ilvl w:val="0"/>
          <w:numId w:val="36"/>
        </w:numPr>
        <w:spacing w:line="259" w:lineRule="auto"/>
        <w:rPr>
          <w:sz w:val="20"/>
          <w:szCs w:val="20"/>
          <w:lang w:val="en-GB"/>
        </w:rPr>
      </w:pPr>
      <w:r>
        <w:rPr>
          <w:sz w:val="20"/>
          <w:szCs w:val="20"/>
          <w:lang w:val="en-GB"/>
        </w:rPr>
        <w:t>Short sequence (L=139), with subcarrier spacing 15 KHz.</w:t>
      </w:r>
    </w:p>
    <w:p w14:paraId="4F99DC49" w14:textId="77777777" w:rsidR="00303F60" w:rsidRDefault="00303F60" w:rsidP="00303F60">
      <w:pPr>
        <w:pStyle w:val="ListParagraph"/>
        <w:numPr>
          <w:ilvl w:val="0"/>
          <w:numId w:val="36"/>
        </w:numPr>
        <w:spacing w:line="259" w:lineRule="auto"/>
        <w:rPr>
          <w:sz w:val="20"/>
          <w:szCs w:val="20"/>
          <w:lang w:val="en-GB"/>
        </w:rPr>
      </w:pPr>
      <w:r>
        <w:rPr>
          <w:sz w:val="20"/>
          <w:szCs w:val="20"/>
          <w:lang w:val="en-GB"/>
        </w:rPr>
        <w:t>Short sequence (L=139), with subcarrier spacing 120 KHz.</w:t>
      </w:r>
    </w:p>
    <w:p w14:paraId="5CA4AC77" w14:textId="77777777" w:rsidR="00303F60" w:rsidRDefault="00303F60" w:rsidP="00303F60"/>
    <w:p w14:paraId="34794A2A" w14:textId="6FFB8F54" w:rsidR="00303F60" w:rsidRDefault="00303F60" w:rsidP="00303F60">
      <w:pPr>
        <w:pStyle w:val="Caption"/>
        <w:keepNext/>
      </w:pPr>
      <w:bookmarkStart w:id="8" w:name="_Ref489873867"/>
      <w:r>
        <w:t xml:space="preserve">Table </w:t>
      </w:r>
      <w:r w:rsidR="008733B1">
        <w:fldChar w:fldCharType="begin"/>
      </w:r>
      <w:r w:rsidR="008733B1">
        <w:instrText xml:space="preserve"> SEQ Table \* ARABIC </w:instrText>
      </w:r>
      <w:r w:rsidR="008733B1">
        <w:fldChar w:fldCharType="separate"/>
      </w:r>
      <w:r w:rsidR="00AA750D">
        <w:rPr>
          <w:noProof/>
        </w:rPr>
        <w:t>3</w:t>
      </w:r>
      <w:r w:rsidR="008733B1">
        <w:rPr>
          <w:noProof/>
        </w:rPr>
        <w:fldChar w:fldCharType="end"/>
      </w:r>
      <w:bookmarkEnd w:id="8"/>
      <w:r>
        <w:t>: Comparison of PRACH capacity between long sequence and short sequence, and between different PRACH subcarrier spacings.</w:t>
      </w:r>
    </w:p>
    <w:tbl>
      <w:tblPr>
        <w:tblStyle w:val="TableGrid"/>
        <w:tblW w:w="0" w:type="auto"/>
        <w:tblLook w:val="04A0" w:firstRow="1" w:lastRow="0" w:firstColumn="1" w:lastColumn="0" w:noHBand="0" w:noVBand="1"/>
      </w:tblPr>
      <w:tblGrid>
        <w:gridCol w:w="3415"/>
        <w:gridCol w:w="1980"/>
        <w:gridCol w:w="2070"/>
        <w:gridCol w:w="2164"/>
      </w:tblGrid>
      <w:tr w:rsidR="00303F60" w14:paraId="232C82D8" w14:textId="77777777" w:rsidTr="00AE5E87">
        <w:tc>
          <w:tcPr>
            <w:tcW w:w="3415" w:type="dxa"/>
            <w:shd w:val="clear" w:color="auto" w:fill="002060"/>
          </w:tcPr>
          <w:p w14:paraId="2C1F0D8B" w14:textId="77777777" w:rsidR="00303F60" w:rsidRPr="00A5159E" w:rsidRDefault="00303F60" w:rsidP="00AE5E87">
            <w:pPr>
              <w:rPr>
                <w:b/>
                <w:bCs/>
                <w:color w:val="FFFFFF" w:themeColor="background1"/>
              </w:rPr>
            </w:pPr>
          </w:p>
        </w:tc>
        <w:tc>
          <w:tcPr>
            <w:tcW w:w="1980" w:type="dxa"/>
            <w:shd w:val="clear" w:color="auto" w:fill="002060"/>
          </w:tcPr>
          <w:p w14:paraId="3E5750A2" w14:textId="77777777" w:rsidR="00303F60" w:rsidRPr="00A5159E" w:rsidRDefault="00303F60" w:rsidP="00AE5E87">
            <w:pPr>
              <w:rPr>
                <w:b/>
                <w:bCs/>
                <w:color w:val="FFFFFF" w:themeColor="background1"/>
              </w:rPr>
            </w:pPr>
            <w:r w:rsidRPr="00A5159E">
              <w:rPr>
                <w:b/>
                <w:bCs/>
                <w:color w:val="FFFFFF" w:themeColor="background1"/>
              </w:rPr>
              <w:t>PRACH sequence 1</w:t>
            </w:r>
          </w:p>
        </w:tc>
        <w:tc>
          <w:tcPr>
            <w:tcW w:w="2070" w:type="dxa"/>
            <w:shd w:val="clear" w:color="auto" w:fill="002060"/>
          </w:tcPr>
          <w:p w14:paraId="36BD271A" w14:textId="77777777" w:rsidR="00303F60" w:rsidRPr="00A5159E" w:rsidRDefault="00303F60" w:rsidP="00AE5E87">
            <w:pPr>
              <w:rPr>
                <w:b/>
                <w:bCs/>
                <w:color w:val="FFFFFF" w:themeColor="background1"/>
              </w:rPr>
            </w:pPr>
            <w:r w:rsidRPr="00A5159E">
              <w:rPr>
                <w:b/>
                <w:bCs/>
                <w:color w:val="FFFFFF" w:themeColor="background1"/>
              </w:rPr>
              <w:t>PRACH Sequence 2</w:t>
            </w:r>
          </w:p>
        </w:tc>
        <w:tc>
          <w:tcPr>
            <w:tcW w:w="2164" w:type="dxa"/>
            <w:shd w:val="clear" w:color="auto" w:fill="002060"/>
          </w:tcPr>
          <w:p w14:paraId="1191D888" w14:textId="77777777" w:rsidR="00303F60" w:rsidRPr="00A5159E" w:rsidRDefault="00303F60" w:rsidP="00AE5E87">
            <w:pPr>
              <w:rPr>
                <w:b/>
                <w:bCs/>
                <w:color w:val="FFFFFF" w:themeColor="background1"/>
              </w:rPr>
            </w:pPr>
            <w:r w:rsidRPr="00A5159E">
              <w:rPr>
                <w:b/>
                <w:bCs/>
                <w:color w:val="FFFFFF" w:themeColor="background1"/>
              </w:rPr>
              <w:t>PRACH sequence 3</w:t>
            </w:r>
          </w:p>
        </w:tc>
      </w:tr>
      <w:tr w:rsidR="00303F60" w14:paraId="516BBEA8" w14:textId="77777777" w:rsidTr="00AE5E87">
        <w:tc>
          <w:tcPr>
            <w:tcW w:w="3415" w:type="dxa"/>
            <w:shd w:val="clear" w:color="auto" w:fill="002060"/>
          </w:tcPr>
          <w:p w14:paraId="7DA45D1A" w14:textId="77777777" w:rsidR="00303F60" w:rsidRPr="00A5159E" w:rsidRDefault="00303F60" w:rsidP="00AE5E87">
            <w:pPr>
              <w:rPr>
                <w:color w:val="FFFFFF" w:themeColor="background1"/>
              </w:rPr>
            </w:pPr>
            <w:r w:rsidRPr="00A5159E">
              <w:rPr>
                <w:color w:val="FFFFFF" w:themeColor="background1"/>
              </w:rPr>
              <w:t>(1) Sequence Length</w:t>
            </w:r>
          </w:p>
        </w:tc>
        <w:tc>
          <w:tcPr>
            <w:tcW w:w="1980" w:type="dxa"/>
          </w:tcPr>
          <w:p w14:paraId="259496F9" w14:textId="77777777" w:rsidR="00303F60" w:rsidRDefault="00303F60" w:rsidP="00AE5E87">
            <w:r>
              <w:t>L=839</w:t>
            </w:r>
          </w:p>
        </w:tc>
        <w:tc>
          <w:tcPr>
            <w:tcW w:w="2070" w:type="dxa"/>
          </w:tcPr>
          <w:p w14:paraId="507090EB" w14:textId="77777777" w:rsidR="00303F60" w:rsidRDefault="00303F60" w:rsidP="00AE5E87">
            <w:r>
              <w:t>L=139</w:t>
            </w:r>
          </w:p>
        </w:tc>
        <w:tc>
          <w:tcPr>
            <w:tcW w:w="2164" w:type="dxa"/>
          </w:tcPr>
          <w:p w14:paraId="097465A2" w14:textId="77777777" w:rsidR="00303F60" w:rsidRDefault="00303F60" w:rsidP="00AE5E87">
            <w:r>
              <w:t>L=139</w:t>
            </w:r>
          </w:p>
        </w:tc>
      </w:tr>
      <w:tr w:rsidR="00303F60" w14:paraId="0E02AFA3" w14:textId="77777777" w:rsidTr="00AE5E87">
        <w:tc>
          <w:tcPr>
            <w:tcW w:w="3415" w:type="dxa"/>
            <w:shd w:val="clear" w:color="auto" w:fill="002060"/>
          </w:tcPr>
          <w:p w14:paraId="2D7E25D3" w14:textId="77777777" w:rsidR="00303F60" w:rsidRPr="00A5159E" w:rsidRDefault="00303F60" w:rsidP="00AE5E87">
            <w:pPr>
              <w:rPr>
                <w:color w:val="FFFFFF" w:themeColor="background1"/>
              </w:rPr>
            </w:pPr>
            <w:r w:rsidRPr="00A5159E">
              <w:rPr>
                <w:color w:val="FFFFFF" w:themeColor="background1"/>
              </w:rPr>
              <w:t>(2) Subcarrier spacing (KHz)</w:t>
            </w:r>
          </w:p>
        </w:tc>
        <w:tc>
          <w:tcPr>
            <w:tcW w:w="1980" w:type="dxa"/>
          </w:tcPr>
          <w:p w14:paraId="5B7DCD9E" w14:textId="77777777" w:rsidR="00303F60" w:rsidRDefault="00303F60" w:rsidP="00AE5E87">
            <w:r>
              <w:t>1.25 KHz</w:t>
            </w:r>
          </w:p>
        </w:tc>
        <w:tc>
          <w:tcPr>
            <w:tcW w:w="2070" w:type="dxa"/>
          </w:tcPr>
          <w:p w14:paraId="0446088F" w14:textId="77777777" w:rsidR="00303F60" w:rsidRDefault="00303F60" w:rsidP="00AE5E87">
            <w:r>
              <w:t>15 KHz</w:t>
            </w:r>
          </w:p>
        </w:tc>
        <w:tc>
          <w:tcPr>
            <w:tcW w:w="2164" w:type="dxa"/>
          </w:tcPr>
          <w:p w14:paraId="0DC3077B" w14:textId="77777777" w:rsidR="00303F60" w:rsidRDefault="00303F60" w:rsidP="00AE5E87">
            <w:r>
              <w:t>120 KHz</w:t>
            </w:r>
          </w:p>
        </w:tc>
      </w:tr>
      <w:tr w:rsidR="00303F60" w14:paraId="3D0CFFE0" w14:textId="77777777" w:rsidTr="00AE5E87">
        <w:tc>
          <w:tcPr>
            <w:tcW w:w="3415" w:type="dxa"/>
            <w:shd w:val="clear" w:color="auto" w:fill="002060"/>
          </w:tcPr>
          <w:p w14:paraId="1818AB4D" w14:textId="77777777" w:rsidR="00303F60" w:rsidRPr="00A5159E" w:rsidRDefault="00303F60" w:rsidP="00AE5E87">
            <w:pPr>
              <w:rPr>
                <w:color w:val="FFFFFF" w:themeColor="background1"/>
              </w:rPr>
            </w:pPr>
            <w:r w:rsidRPr="00A5159E">
              <w:rPr>
                <w:color w:val="FFFFFF" w:themeColor="background1"/>
              </w:rPr>
              <w:lastRenderedPageBreak/>
              <w:t>(3) CP Length (usec)</w:t>
            </w:r>
          </w:p>
        </w:tc>
        <w:tc>
          <w:tcPr>
            <w:tcW w:w="1980" w:type="dxa"/>
          </w:tcPr>
          <w:p w14:paraId="05706D76" w14:textId="77777777" w:rsidR="00303F60" w:rsidRDefault="00303F60" w:rsidP="00AE5E87">
            <w:r>
              <w:t>100 usec</w:t>
            </w:r>
          </w:p>
        </w:tc>
        <w:tc>
          <w:tcPr>
            <w:tcW w:w="2070" w:type="dxa"/>
          </w:tcPr>
          <w:p w14:paraId="4523FC18" w14:textId="77777777" w:rsidR="00303F60" w:rsidRDefault="00303F60" w:rsidP="00AE5E87">
            <w:r>
              <w:t>16 usec</w:t>
            </w:r>
          </w:p>
        </w:tc>
        <w:tc>
          <w:tcPr>
            <w:tcW w:w="2164" w:type="dxa"/>
          </w:tcPr>
          <w:p w14:paraId="108AEF5A" w14:textId="77777777" w:rsidR="00303F60" w:rsidRDefault="00303F60" w:rsidP="00AE5E87">
            <w:r>
              <w:t>4 usec</w:t>
            </w:r>
          </w:p>
        </w:tc>
      </w:tr>
      <w:tr w:rsidR="00303F60" w14:paraId="5310B4DB" w14:textId="77777777" w:rsidTr="00AE5E87">
        <w:tc>
          <w:tcPr>
            <w:tcW w:w="3415" w:type="dxa"/>
            <w:shd w:val="clear" w:color="auto" w:fill="002060"/>
          </w:tcPr>
          <w:p w14:paraId="36C10659" w14:textId="77777777" w:rsidR="00303F60" w:rsidRPr="00A5159E" w:rsidRDefault="00303F60" w:rsidP="00AE5E87">
            <w:pPr>
              <w:rPr>
                <w:color w:val="FFFFFF" w:themeColor="background1"/>
              </w:rPr>
            </w:pPr>
            <w:r w:rsidRPr="00A5159E">
              <w:rPr>
                <w:color w:val="FFFFFF" w:themeColor="background1"/>
              </w:rPr>
              <w:t>(4) Cell radius (Km)</w:t>
            </w:r>
          </w:p>
        </w:tc>
        <w:tc>
          <w:tcPr>
            <w:tcW w:w="1980" w:type="dxa"/>
          </w:tcPr>
          <w:p w14:paraId="261D533C" w14:textId="77777777" w:rsidR="00303F60" w:rsidRDefault="00303F60" w:rsidP="00AE5E87">
            <w:r>
              <w:t>2 Km</w:t>
            </w:r>
          </w:p>
        </w:tc>
        <w:tc>
          <w:tcPr>
            <w:tcW w:w="2070" w:type="dxa"/>
          </w:tcPr>
          <w:p w14:paraId="4E0EE28A" w14:textId="77777777" w:rsidR="00303F60" w:rsidRDefault="00303F60" w:rsidP="00AE5E87">
            <w:r>
              <w:t>2 Km</w:t>
            </w:r>
          </w:p>
        </w:tc>
        <w:tc>
          <w:tcPr>
            <w:tcW w:w="2164" w:type="dxa"/>
          </w:tcPr>
          <w:p w14:paraId="2C159563" w14:textId="77777777" w:rsidR="00303F60" w:rsidRDefault="00303F60" w:rsidP="00AE5E87">
            <w:r>
              <w:t>0.5 Km</w:t>
            </w:r>
          </w:p>
        </w:tc>
      </w:tr>
      <w:tr w:rsidR="00303F60" w14:paraId="5A490F9D" w14:textId="77777777" w:rsidTr="00AE5E87">
        <w:tc>
          <w:tcPr>
            <w:tcW w:w="3415" w:type="dxa"/>
            <w:shd w:val="clear" w:color="auto" w:fill="002060"/>
          </w:tcPr>
          <w:p w14:paraId="42F710BF" w14:textId="77777777" w:rsidR="00303F60" w:rsidRPr="00A5159E" w:rsidRDefault="00303F60" w:rsidP="00AE5E87">
            <w:pPr>
              <w:rPr>
                <w:color w:val="FFFFFF" w:themeColor="background1"/>
              </w:rPr>
            </w:pPr>
            <w:r w:rsidRPr="00A5159E">
              <w:rPr>
                <w:color w:val="FFFFFF" w:themeColor="background1"/>
              </w:rPr>
              <w:t>(5) Max RTT (usec)</w:t>
            </w:r>
            <w:r w:rsidRPr="00A5159E">
              <w:rPr>
                <w:color w:val="FFFFFF" w:themeColor="background1"/>
              </w:rPr>
              <w:br/>
              <w:t>2 * (4) / speed of light</w:t>
            </w:r>
          </w:p>
        </w:tc>
        <w:tc>
          <w:tcPr>
            <w:tcW w:w="1980" w:type="dxa"/>
          </w:tcPr>
          <w:p w14:paraId="1B4A4B67" w14:textId="77777777" w:rsidR="00303F60" w:rsidRDefault="00303F60" w:rsidP="00AE5E87">
            <w:r>
              <w:t>13.33 usec</w:t>
            </w:r>
          </w:p>
        </w:tc>
        <w:tc>
          <w:tcPr>
            <w:tcW w:w="2070" w:type="dxa"/>
          </w:tcPr>
          <w:p w14:paraId="0C3B63FF" w14:textId="77777777" w:rsidR="00303F60" w:rsidRDefault="00303F60" w:rsidP="00AE5E87">
            <w:r>
              <w:t>13.33 usec</w:t>
            </w:r>
          </w:p>
        </w:tc>
        <w:tc>
          <w:tcPr>
            <w:tcW w:w="2164" w:type="dxa"/>
          </w:tcPr>
          <w:p w14:paraId="5D77DC3E" w14:textId="77777777" w:rsidR="00303F60" w:rsidRDefault="00303F60" w:rsidP="00AE5E87">
            <w:r>
              <w:t>3.33 usec</w:t>
            </w:r>
          </w:p>
        </w:tc>
      </w:tr>
      <w:tr w:rsidR="00303F60" w14:paraId="033BCA0B" w14:textId="77777777" w:rsidTr="00AE5E87">
        <w:tc>
          <w:tcPr>
            <w:tcW w:w="3415" w:type="dxa"/>
            <w:shd w:val="clear" w:color="auto" w:fill="002060"/>
          </w:tcPr>
          <w:p w14:paraId="3FE8D2C0" w14:textId="77777777" w:rsidR="00303F60" w:rsidRPr="00A5159E" w:rsidRDefault="00303F60" w:rsidP="00AE5E87">
            <w:pPr>
              <w:rPr>
                <w:color w:val="FFFFFF" w:themeColor="background1"/>
              </w:rPr>
            </w:pPr>
            <w:r w:rsidRPr="00A5159E">
              <w:rPr>
                <w:color w:val="FFFFFF" w:themeColor="background1"/>
              </w:rPr>
              <w:t>(6) Signatures/sequence</w:t>
            </w:r>
            <w:r w:rsidRPr="00A5159E">
              <w:rPr>
                <w:color w:val="FFFFFF" w:themeColor="background1"/>
              </w:rPr>
              <w:br/>
              <w:t>1000 / (2) [sequence length in usec] / ( (5) * 1.25) [RTT with 25% overhead for delay spread and guard)</w:t>
            </w:r>
          </w:p>
        </w:tc>
        <w:tc>
          <w:tcPr>
            <w:tcW w:w="1980" w:type="dxa"/>
          </w:tcPr>
          <w:p w14:paraId="61E9EBFC" w14:textId="77777777" w:rsidR="00303F60" w:rsidRDefault="00303F60" w:rsidP="00AE5E87">
            <w:r>
              <w:t>48</w:t>
            </w:r>
          </w:p>
        </w:tc>
        <w:tc>
          <w:tcPr>
            <w:tcW w:w="2070" w:type="dxa"/>
          </w:tcPr>
          <w:p w14:paraId="660F1363" w14:textId="77777777" w:rsidR="00303F60" w:rsidRDefault="00303F60" w:rsidP="00AE5E87">
            <w:r>
              <w:t>4</w:t>
            </w:r>
          </w:p>
        </w:tc>
        <w:tc>
          <w:tcPr>
            <w:tcW w:w="2164" w:type="dxa"/>
          </w:tcPr>
          <w:p w14:paraId="6B67ABEE" w14:textId="77777777" w:rsidR="00303F60" w:rsidRDefault="00303F60" w:rsidP="00AE5E87">
            <w:r>
              <w:t>2</w:t>
            </w:r>
          </w:p>
        </w:tc>
      </w:tr>
      <w:tr w:rsidR="00303F60" w14:paraId="27CACA5B" w14:textId="77777777" w:rsidTr="00AE5E87">
        <w:tc>
          <w:tcPr>
            <w:tcW w:w="3415" w:type="dxa"/>
            <w:shd w:val="clear" w:color="auto" w:fill="002060"/>
          </w:tcPr>
          <w:p w14:paraId="27C2AFC9" w14:textId="77777777" w:rsidR="00303F60" w:rsidRPr="00A5159E" w:rsidRDefault="00303F60" w:rsidP="00AE5E87">
            <w:pPr>
              <w:rPr>
                <w:color w:val="FFFFFF" w:themeColor="background1"/>
              </w:rPr>
            </w:pPr>
            <w:r w:rsidRPr="00A5159E">
              <w:rPr>
                <w:color w:val="FFFFFF" w:themeColor="background1"/>
              </w:rPr>
              <w:t>(7) Signatures available</w:t>
            </w:r>
            <w:r w:rsidRPr="00A5159E">
              <w:rPr>
                <w:color w:val="FFFFFF" w:themeColor="background1"/>
              </w:rPr>
              <w:br/>
              <w:t>( (1) – 1) * (6)</w:t>
            </w:r>
          </w:p>
        </w:tc>
        <w:tc>
          <w:tcPr>
            <w:tcW w:w="1980" w:type="dxa"/>
          </w:tcPr>
          <w:p w14:paraId="72DE76CE" w14:textId="77777777" w:rsidR="00303F60" w:rsidRDefault="00303F60" w:rsidP="00AE5E87">
            <w:r>
              <w:t>40224</w:t>
            </w:r>
          </w:p>
        </w:tc>
        <w:tc>
          <w:tcPr>
            <w:tcW w:w="2070" w:type="dxa"/>
          </w:tcPr>
          <w:p w14:paraId="5B80A3F0" w14:textId="77777777" w:rsidR="00303F60" w:rsidRDefault="00303F60" w:rsidP="00AE5E87">
            <w:r>
              <w:t>552</w:t>
            </w:r>
          </w:p>
        </w:tc>
        <w:tc>
          <w:tcPr>
            <w:tcW w:w="2164" w:type="dxa"/>
          </w:tcPr>
          <w:p w14:paraId="711E05A0" w14:textId="77777777" w:rsidR="00303F60" w:rsidRDefault="00303F60" w:rsidP="00AE5E87">
            <w:r>
              <w:t>276</w:t>
            </w:r>
          </w:p>
        </w:tc>
      </w:tr>
      <w:tr w:rsidR="00303F60" w14:paraId="08942ABA" w14:textId="77777777" w:rsidTr="00AE5E87">
        <w:tc>
          <w:tcPr>
            <w:tcW w:w="3415" w:type="dxa"/>
            <w:shd w:val="clear" w:color="auto" w:fill="002060"/>
          </w:tcPr>
          <w:p w14:paraId="29C1C905" w14:textId="77777777" w:rsidR="00303F60" w:rsidRPr="00A5159E" w:rsidRDefault="00303F60" w:rsidP="00AE5E87">
            <w:pPr>
              <w:rPr>
                <w:color w:val="FFFFFF" w:themeColor="background1"/>
              </w:rPr>
            </w:pPr>
            <w:r w:rsidRPr="00A5159E">
              <w:rPr>
                <w:color w:val="FFFFFF" w:themeColor="background1"/>
              </w:rPr>
              <w:t>(8) Sequence BW (MHz)</w:t>
            </w:r>
          </w:p>
        </w:tc>
        <w:tc>
          <w:tcPr>
            <w:tcW w:w="1980" w:type="dxa"/>
          </w:tcPr>
          <w:p w14:paraId="0A4994FE" w14:textId="77777777" w:rsidR="00303F60" w:rsidRDefault="00303F60" w:rsidP="00AE5E87">
            <w:r>
              <w:t>1.08 MHz</w:t>
            </w:r>
          </w:p>
        </w:tc>
        <w:tc>
          <w:tcPr>
            <w:tcW w:w="2070" w:type="dxa"/>
          </w:tcPr>
          <w:p w14:paraId="43E59563" w14:textId="77777777" w:rsidR="00303F60" w:rsidRDefault="00303F60" w:rsidP="00AE5E87">
            <w:r>
              <w:t>2.16 MHz</w:t>
            </w:r>
          </w:p>
        </w:tc>
        <w:tc>
          <w:tcPr>
            <w:tcW w:w="2164" w:type="dxa"/>
          </w:tcPr>
          <w:p w14:paraId="59A0CAE2" w14:textId="77777777" w:rsidR="00303F60" w:rsidRDefault="00303F60" w:rsidP="00AE5E87">
            <w:r>
              <w:t>17.28 MHz</w:t>
            </w:r>
          </w:p>
        </w:tc>
      </w:tr>
      <w:tr w:rsidR="00303F60" w14:paraId="3DCD8029" w14:textId="77777777" w:rsidTr="00AE5E87">
        <w:tc>
          <w:tcPr>
            <w:tcW w:w="3415" w:type="dxa"/>
            <w:shd w:val="clear" w:color="auto" w:fill="002060"/>
          </w:tcPr>
          <w:p w14:paraId="3737E741" w14:textId="77777777" w:rsidR="00303F60" w:rsidRPr="00A5159E" w:rsidRDefault="00303F60" w:rsidP="00AE5E87">
            <w:pPr>
              <w:rPr>
                <w:color w:val="FFFFFF" w:themeColor="background1"/>
              </w:rPr>
            </w:pPr>
            <w:r w:rsidRPr="00A5159E">
              <w:rPr>
                <w:color w:val="FFFFFF" w:themeColor="background1"/>
              </w:rPr>
              <w:t>(9) Sequence Duration (usec)</w:t>
            </w:r>
            <w:r w:rsidRPr="00A5159E">
              <w:rPr>
                <w:color w:val="FFFFFF" w:themeColor="background1"/>
              </w:rPr>
              <w:br/>
              <w:t>1000 / (1) + (3)</w:t>
            </w:r>
          </w:p>
        </w:tc>
        <w:tc>
          <w:tcPr>
            <w:tcW w:w="1980" w:type="dxa"/>
          </w:tcPr>
          <w:p w14:paraId="76AF7F9A" w14:textId="77777777" w:rsidR="00303F60" w:rsidRDefault="00303F60" w:rsidP="00AE5E87">
            <w:r>
              <w:t>900 usec</w:t>
            </w:r>
          </w:p>
        </w:tc>
        <w:tc>
          <w:tcPr>
            <w:tcW w:w="2070" w:type="dxa"/>
          </w:tcPr>
          <w:p w14:paraId="45BF32BA" w14:textId="77777777" w:rsidR="00303F60" w:rsidRDefault="00303F60" w:rsidP="00AE5E87">
            <w:r>
              <w:t>83 usec</w:t>
            </w:r>
          </w:p>
        </w:tc>
        <w:tc>
          <w:tcPr>
            <w:tcW w:w="2164" w:type="dxa"/>
          </w:tcPr>
          <w:p w14:paraId="5309E61B" w14:textId="77777777" w:rsidR="00303F60" w:rsidRDefault="00303F60" w:rsidP="00AE5E87">
            <w:r>
              <w:t>12.5 usec</w:t>
            </w:r>
          </w:p>
        </w:tc>
      </w:tr>
      <w:tr w:rsidR="00303F60" w14:paraId="71079E85" w14:textId="77777777" w:rsidTr="00AE5E87">
        <w:tc>
          <w:tcPr>
            <w:tcW w:w="3415" w:type="dxa"/>
            <w:shd w:val="clear" w:color="auto" w:fill="002060"/>
          </w:tcPr>
          <w:p w14:paraId="0FBA8362" w14:textId="77777777" w:rsidR="00303F60" w:rsidRPr="00A5159E" w:rsidRDefault="00303F60" w:rsidP="00AE5E87">
            <w:pPr>
              <w:rPr>
                <w:color w:val="FFFFFF" w:themeColor="background1"/>
              </w:rPr>
            </w:pPr>
            <w:r w:rsidRPr="497069D4">
              <w:rPr>
                <w:color w:val="FFFFFF" w:themeColor="background1"/>
              </w:rPr>
              <w:t>(10) Normalized capacity (Sequence/usec/MHz)</w:t>
            </w:r>
            <w:r>
              <w:br/>
            </w:r>
            <w:r w:rsidRPr="497069D4">
              <w:rPr>
                <w:color w:val="FFFFFF" w:themeColor="background1"/>
              </w:rPr>
              <w:t>(7) / (8) / (9)</w:t>
            </w:r>
          </w:p>
        </w:tc>
        <w:tc>
          <w:tcPr>
            <w:tcW w:w="1980" w:type="dxa"/>
            <w:shd w:val="clear" w:color="auto" w:fill="0070C0"/>
          </w:tcPr>
          <w:p w14:paraId="014EFBF4" w14:textId="77777777" w:rsidR="00303F60" w:rsidRPr="00A5159E" w:rsidRDefault="00303F60" w:rsidP="00AE5E87">
            <w:pPr>
              <w:rPr>
                <w:b/>
                <w:bCs/>
                <w:color w:val="FFFFFF" w:themeColor="background1"/>
              </w:rPr>
            </w:pPr>
            <w:r w:rsidRPr="00A5159E">
              <w:rPr>
                <w:b/>
                <w:bCs/>
                <w:color w:val="FFFFFF" w:themeColor="background1"/>
              </w:rPr>
              <w:t>41.4</w:t>
            </w:r>
          </w:p>
        </w:tc>
        <w:tc>
          <w:tcPr>
            <w:tcW w:w="2070" w:type="dxa"/>
            <w:shd w:val="clear" w:color="auto" w:fill="0070C0"/>
          </w:tcPr>
          <w:p w14:paraId="4E247FB4" w14:textId="77777777" w:rsidR="00303F60" w:rsidRPr="00A5159E" w:rsidRDefault="00303F60" w:rsidP="00AE5E87">
            <w:pPr>
              <w:rPr>
                <w:b/>
                <w:bCs/>
                <w:color w:val="FFFFFF" w:themeColor="background1"/>
              </w:rPr>
            </w:pPr>
            <w:r w:rsidRPr="00A5159E">
              <w:rPr>
                <w:b/>
                <w:bCs/>
                <w:color w:val="FFFFFF" w:themeColor="background1"/>
              </w:rPr>
              <w:t>3.1</w:t>
            </w:r>
          </w:p>
        </w:tc>
        <w:tc>
          <w:tcPr>
            <w:tcW w:w="2164" w:type="dxa"/>
            <w:shd w:val="clear" w:color="auto" w:fill="0070C0"/>
          </w:tcPr>
          <w:p w14:paraId="694401D8" w14:textId="77777777" w:rsidR="00303F60" w:rsidRPr="00A5159E" w:rsidRDefault="00303F60" w:rsidP="00AE5E87">
            <w:pPr>
              <w:rPr>
                <w:b/>
                <w:bCs/>
                <w:color w:val="FFFFFF" w:themeColor="background1"/>
              </w:rPr>
            </w:pPr>
            <w:r w:rsidRPr="00A5159E">
              <w:rPr>
                <w:b/>
                <w:bCs/>
                <w:color w:val="FFFFFF" w:themeColor="background1"/>
              </w:rPr>
              <w:t>1.3</w:t>
            </w:r>
          </w:p>
        </w:tc>
      </w:tr>
    </w:tbl>
    <w:p w14:paraId="4C595977" w14:textId="77777777" w:rsidR="00303F60" w:rsidRDefault="00303F60" w:rsidP="00303F60"/>
    <w:p w14:paraId="1AC9FB88" w14:textId="77777777" w:rsidR="00303F60" w:rsidRDefault="00303F60" w:rsidP="00303F60">
      <w:pPr>
        <w:jc w:val="both"/>
      </w:pPr>
      <w:r>
        <w:fldChar w:fldCharType="begin"/>
      </w:r>
      <w:r>
        <w:instrText xml:space="preserve"> REF _Ref489873867 \h  \* MERGEFORMAT </w:instrText>
      </w:r>
      <w:r>
        <w:fldChar w:fldCharType="separate"/>
      </w:r>
      <w:r>
        <w:t xml:space="preserve">Table </w:t>
      </w:r>
      <w:r>
        <w:rPr>
          <w:noProof/>
        </w:rPr>
        <w:t>1</w:t>
      </w:r>
      <w:r>
        <w:fldChar w:fldCharType="end"/>
      </w:r>
      <w:r>
        <w:t xml:space="preserve"> compares the PRACH capacity of long and short sequences, and compares the PRACH capacity of short sequences with different subcarrier spacings. From </w:t>
      </w:r>
      <w:r>
        <w:fldChar w:fldCharType="begin"/>
      </w:r>
      <w:r>
        <w:instrText xml:space="preserve"> REF _Ref489873867 \h  \* MERGEFORMAT </w:instrText>
      </w:r>
      <w:r>
        <w:fldChar w:fldCharType="separate"/>
      </w:r>
      <w:r>
        <w:t xml:space="preserve">Table </w:t>
      </w:r>
      <w:r>
        <w:rPr>
          <w:noProof/>
        </w:rPr>
        <w:t>1</w:t>
      </w:r>
      <w:r>
        <w:fldChar w:fldCharType="end"/>
      </w:r>
      <w:r>
        <w:t>, the following observation can be made:</w:t>
      </w:r>
    </w:p>
    <w:p w14:paraId="51C346F4" w14:textId="77777777" w:rsidR="00303F60" w:rsidRDefault="00303F60" w:rsidP="00303F60">
      <w:pPr>
        <w:pStyle w:val="ListParagraph"/>
        <w:numPr>
          <w:ilvl w:val="0"/>
          <w:numId w:val="37"/>
        </w:numPr>
        <w:spacing w:line="259" w:lineRule="auto"/>
        <w:jc w:val="both"/>
        <w:rPr>
          <w:sz w:val="20"/>
          <w:szCs w:val="20"/>
          <w:lang w:val="en-GB"/>
        </w:rPr>
      </w:pPr>
      <w:r>
        <w:rPr>
          <w:sz w:val="20"/>
          <w:szCs w:val="20"/>
          <w:lang w:val="en-GB"/>
        </w:rPr>
        <w:t>With short sequences, there are less sequences available compared to long sequences (138 vs 838)</w:t>
      </w:r>
    </w:p>
    <w:p w14:paraId="4B85E178" w14:textId="77777777" w:rsidR="00303F60" w:rsidRDefault="00303F60" w:rsidP="00303F60">
      <w:pPr>
        <w:pStyle w:val="ListParagraph"/>
        <w:numPr>
          <w:ilvl w:val="0"/>
          <w:numId w:val="37"/>
        </w:numPr>
        <w:spacing w:line="259" w:lineRule="auto"/>
        <w:jc w:val="both"/>
        <w:rPr>
          <w:sz w:val="20"/>
          <w:szCs w:val="20"/>
          <w:lang w:val="en-GB"/>
        </w:rPr>
      </w:pPr>
      <w:r>
        <w:rPr>
          <w:sz w:val="20"/>
          <w:szCs w:val="20"/>
          <w:lang w:val="en-GB"/>
        </w:rPr>
        <w:t>The smaller the subcarrier spacing the fewer the number of signatures available per sequence.</w:t>
      </w:r>
    </w:p>
    <w:p w14:paraId="6A27A8D6" w14:textId="77777777" w:rsidR="00303F60" w:rsidRDefault="00303F60" w:rsidP="00303F60">
      <w:pPr>
        <w:pStyle w:val="ListParagraph"/>
        <w:numPr>
          <w:ilvl w:val="0"/>
          <w:numId w:val="37"/>
        </w:numPr>
        <w:spacing w:line="259" w:lineRule="auto"/>
        <w:jc w:val="both"/>
        <w:rPr>
          <w:sz w:val="20"/>
          <w:szCs w:val="20"/>
          <w:lang w:val="en-GB"/>
        </w:rPr>
      </w:pPr>
      <w:r>
        <w:rPr>
          <w:sz w:val="20"/>
          <w:szCs w:val="20"/>
          <w:lang w:val="en-GB"/>
        </w:rPr>
        <w:t>The total number of available signatures is the product of the number of sequences by the number of signatures per sequence. There are less available signatures with short sequences, and even less signatures become available with higher subcarrier spacing.</w:t>
      </w:r>
    </w:p>
    <w:p w14:paraId="0E84F755" w14:textId="77777777" w:rsidR="00303F60" w:rsidRDefault="00303F60" w:rsidP="00303F60">
      <w:pPr>
        <w:jc w:val="both"/>
      </w:pPr>
    </w:p>
    <w:p w14:paraId="1E112656" w14:textId="77777777" w:rsidR="00303F60" w:rsidRPr="00A5159E" w:rsidRDefault="00303F60" w:rsidP="00303F60">
      <w:pPr>
        <w:jc w:val="both"/>
        <w:rPr>
          <w:b/>
          <w:bCs/>
          <w:i/>
          <w:iCs/>
        </w:rPr>
      </w:pPr>
      <w:r w:rsidRPr="00A5159E">
        <w:rPr>
          <w:b/>
          <w:bCs/>
          <w:i/>
          <w:iCs/>
        </w:rPr>
        <w:t xml:space="preserve">Observation </w:t>
      </w:r>
      <w:r w:rsidRPr="006408B1">
        <w:rPr>
          <w:b/>
          <w:bCs/>
          <w:i/>
          <w:iCs/>
        </w:rPr>
        <w:t>1</w:t>
      </w:r>
      <w:r w:rsidRPr="00A5159E">
        <w:rPr>
          <w:b/>
          <w:bCs/>
          <w:i/>
          <w:iCs/>
        </w:rPr>
        <w:t xml:space="preserve">: Short sequences have less </w:t>
      </w:r>
      <w:r>
        <w:rPr>
          <w:b/>
          <w:bCs/>
          <w:i/>
          <w:iCs/>
        </w:rPr>
        <w:t>sequences/</w:t>
      </w:r>
      <w:r w:rsidRPr="00A5159E">
        <w:rPr>
          <w:b/>
          <w:bCs/>
          <w:i/>
          <w:iCs/>
        </w:rPr>
        <w:t>signatures available than long sequences.</w:t>
      </w:r>
    </w:p>
    <w:p w14:paraId="12F87C66" w14:textId="77777777" w:rsidR="00303F60" w:rsidRPr="00A5159E" w:rsidRDefault="00303F60" w:rsidP="00303F60">
      <w:pPr>
        <w:jc w:val="both"/>
        <w:rPr>
          <w:b/>
          <w:bCs/>
          <w:i/>
          <w:iCs/>
        </w:rPr>
      </w:pPr>
      <w:r w:rsidRPr="497069D4">
        <w:rPr>
          <w:b/>
          <w:bCs/>
          <w:i/>
          <w:iCs/>
        </w:rPr>
        <w:t xml:space="preserve">Observation </w:t>
      </w:r>
      <w:r w:rsidRPr="006408B1">
        <w:rPr>
          <w:b/>
          <w:bCs/>
          <w:i/>
          <w:iCs/>
        </w:rPr>
        <w:t>2</w:t>
      </w:r>
      <w:r w:rsidRPr="497069D4">
        <w:rPr>
          <w:b/>
          <w:bCs/>
          <w:i/>
          <w:iCs/>
        </w:rPr>
        <w:t xml:space="preserve">: Sequences with higher subcarrier spacing have less signatures available than sequences with lower subcarrier spacing. </w:t>
      </w:r>
    </w:p>
    <w:p w14:paraId="61C90FA6" w14:textId="77777777" w:rsidR="00303F60" w:rsidRPr="002E5BDC" w:rsidRDefault="00303F60" w:rsidP="00303F60">
      <w:pPr>
        <w:jc w:val="both"/>
      </w:pPr>
      <w:r w:rsidRPr="002E5BDC">
        <w:t xml:space="preserve">In a multi-beam system, beam sweeping is used to identify the best beams used at the gNB for transmission and reception. The gNB could have beam correspondence, in which case the Tx beam at the gNB uniquely identifies the Rx beam, or the gNB might not have beam correspondence (or has partial beam correspondence), in which case the gNB needs to do additional Rx beam sweeping to identify the best Rx beam. Consider a multi-beam system with L Tx gNB beams. A sync block is associated with each beam within a sync burst set. </w:t>
      </w:r>
      <w:r>
        <w:t>In case of analog beam forming at the gNB, e</w:t>
      </w:r>
      <w:r w:rsidRPr="002E5BDC">
        <w:t>ach sync block is associated with a RACH occasion</w:t>
      </w:r>
      <w:r>
        <w:t xml:space="preserve"> on a different time resource</w:t>
      </w:r>
      <w:r w:rsidRPr="002E5BDC">
        <w:t>. Let’s assume that the sync periodicity and accordingly the RACH occasion periodicity for a RACH occasion associated with a beam is T (=20ms as an example), i.e. with</w:t>
      </w:r>
      <w:r>
        <w:t>in</w:t>
      </w:r>
      <w:r w:rsidRPr="002E5BDC">
        <w:t xml:space="preserve"> time T all beams can be swept. In case of beam correspondence at the gNB, each RACH occasion consists of a preamble format with at least one RACH OFDM symbol. In case of non-beam correspondence at the gNB, each RACH occasion consists of a preamble format with multiple RACH OFDM symbols, with the number of symbols at least equal to the number of Rx beams to sweep.</w:t>
      </w:r>
    </w:p>
    <w:p w14:paraId="796A2ECA" w14:textId="77777777" w:rsidR="00303F60" w:rsidRPr="002E5BDC" w:rsidRDefault="00303F60" w:rsidP="00303F60">
      <w:pPr>
        <w:jc w:val="both"/>
      </w:pPr>
      <w:r w:rsidRPr="002E5BDC">
        <w:t>The RACH resource overhead in a multi</w:t>
      </w:r>
      <w:r>
        <w:t>-</w:t>
      </w:r>
      <w:r w:rsidRPr="002E5BDC">
        <w:t>beam system, depends on the number of beams, the RACH preamble sub-carrier spacing, the sync periodicity and the gNB beam correspondence capability.</w:t>
      </w:r>
    </w:p>
    <w:p w14:paraId="7991F344" w14:textId="77777777" w:rsidR="00303F60" w:rsidRPr="00A73B26" w:rsidRDefault="00303F60" w:rsidP="00303F60">
      <w:pPr>
        <w:pStyle w:val="ListParagraph"/>
        <w:numPr>
          <w:ilvl w:val="0"/>
          <w:numId w:val="34"/>
        </w:numPr>
        <w:spacing w:line="259" w:lineRule="auto"/>
        <w:jc w:val="both"/>
        <w:rPr>
          <w:sz w:val="20"/>
          <w:szCs w:val="22"/>
          <w:lang w:val="en-US"/>
        </w:rPr>
      </w:pPr>
      <w:r w:rsidRPr="00A73B26">
        <w:rPr>
          <w:sz w:val="20"/>
          <w:szCs w:val="22"/>
          <w:lang w:val="en-US"/>
        </w:rPr>
        <w:t>The higher the number of beams, the higher the RACH resource overhead.</w:t>
      </w:r>
    </w:p>
    <w:p w14:paraId="6F2E6984" w14:textId="77777777" w:rsidR="00303F60" w:rsidRPr="00A73B26" w:rsidRDefault="00303F60" w:rsidP="00303F60">
      <w:pPr>
        <w:pStyle w:val="ListParagraph"/>
        <w:numPr>
          <w:ilvl w:val="0"/>
          <w:numId w:val="34"/>
        </w:numPr>
        <w:spacing w:line="259" w:lineRule="auto"/>
        <w:jc w:val="both"/>
        <w:rPr>
          <w:sz w:val="20"/>
          <w:szCs w:val="22"/>
          <w:lang w:val="en-US"/>
        </w:rPr>
      </w:pPr>
      <w:r w:rsidRPr="00A73B26">
        <w:rPr>
          <w:sz w:val="20"/>
          <w:szCs w:val="22"/>
          <w:lang w:val="en-US"/>
        </w:rPr>
        <w:t>The higher the RACH preamble sub-carrier spacing, the lower the RACH resource overhead.</w:t>
      </w:r>
    </w:p>
    <w:p w14:paraId="6292E9DB" w14:textId="77777777" w:rsidR="00303F60" w:rsidRPr="00A73B26" w:rsidRDefault="00303F60" w:rsidP="00303F60">
      <w:pPr>
        <w:pStyle w:val="ListParagraph"/>
        <w:numPr>
          <w:ilvl w:val="0"/>
          <w:numId w:val="34"/>
        </w:numPr>
        <w:spacing w:line="259" w:lineRule="auto"/>
        <w:jc w:val="both"/>
        <w:rPr>
          <w:sz w:val="20"/>
          <w:szCs w:val="22"/>
          <w:lang w:val="en-US"/>
        </w:rPr>
      </w:pPr>
      <w:r w:rsidRPr="00A73B26">
        <w:rPr>
          <w:sz w:val="20"/>
          <w:szCs w:val="22"/>
          <w:lang w:val="en-US"/>
        </w:rPr>
        <w:t>The higher the sync periodicity (sync periodic time), the lower the RACH resource overhead.</w:t>
      </w:r>
    </w:p>
    <w:p w14:paraId="39226EF8" w14:textId="77777777" w:rsidR="00303F60" w:rsidRPr="00A73B26" w:rsidRDefault="00303F60" w:rsidP="00303F60">
      <w:pPr>
        <w:pStyle w:val="ListParagraph"/>
        <w:numPr>
          <w:ilvl w:val="0"/>
          <w:numId w:val="34"/>
        </w:numPr>
        <w:spacing w:line="259" w:lineRule="auto"/>
        <w:jc w:val="both"/>
        <w:rPr>
          <w:sz w:val="20"/>
          <w:szCs w:val="22"/>
          <w:lang w:val="en-US"/>
        </w:rPr>
      </w:pPr>
      <w:r w:rsidRPr="00A73B26">
        <w:rPr>
          <w:sz w:val="20"/>
          <w:szCs w:val="22"/>
          <w:lang w:val="en-US"/>
        </w:rPr>
        <w:t>Beam non-correspondence at the gNB leads to a higher RACH resource overhead.</w:t>
      </w:r>
    </w:p>
    <w:p w14:paraId="7907F5F5" w14:textId="77777777" w:rsidR="00303F60" w:rsidRDefault="00303F60" w:rsidP="00303F60">
      <w:pPr>
        <w:jc w:val="both"/>
      </w:pPr>
    </w:p>
    <w:p w14:paraId="4173BE5A" w14:textId="77777777" w:rsidR="00303F60" w:rsidRPr="002E5BDC" w:rsidRDefault="00303F60" w:rsidP="00303F60">
      <w:pPr>
        <w:jc w:val="both"/>
      </w:pPr>
      <w:r>
        <w:lastRenderedPageBreak/>
        <w:t>To reduce the RACH overhead in a multi-beam system, we should use higher subcarrier spacing for RACH as this reduces the duration of the RACH occasion. However, as highlighted by observation 2, using a higher subcarrier spacing reduces the number of available RACH signatures in the system.</w:t>
      </w:r>
    </w:p>
    <w:p w14:paraId="105A5066" w14:textId="77777777" w:rsidR="00303F60" w:rsidRPr="00A5159E" w:rsidRDefault="00303F60" w:rsidP="00303F60">
      <w:pPr>
        <w:jc w:val="both"/>
        <w:rPr>
          <w:b/>
          <w:bCs/>
          <w:i/>
          <w:iCs/>
        </w:rPr>
      </w:pPr>
      <w:r w:rsidRPr="00A5159E">
        <w:rPr>
          <w:b/>
          <w:bCs/>
          <w:i/>
          <w:iCs/>
        </w:rPr>
        <w:t xml:space="preserve">Observation </w:t>
      </w:r>
      <w:r w:rsidRPr="006408B1">
        <w:rPr>
          <w:b/>
          <w:bCs/>
          <w:i/>
          <w:iCs/>
        </w:rPr>
        <w:t>3</w:t>
      </w:r>
      <w:r w:rsidRPr="00A5159E">
        <w:rPr>
          <w:b/>
          <w:bCs/>
          <w:i/>
          <w:iCs/>
        </w:rPr>
        <w:t xml:space="preserve">: As the RACH preamble sub-carrier spacing </w:t>
      </w:r>
      <w:r>
        <w:rPr>
          <w:b/>
          <w:bCs/>
          <w:i/>
          <w:iCs/>
        </w:rPr>
        <w:t>de</w:t>
      </w:r>
      <w:r w:rsidRPr="00A5159E">
        <w:rPr>
          <w:b/>
          <w:bCs/>
          <w:i/>
          <w:iCs/>
        </w:rPr>
        <w:t xml:space="preserve">creases, the RACH resource overhead in a multi-beam system </w:t>
      </w:r>
      <w:r>
        <w:rPr>
          <w:b/>
          <w:bCs/>
          <w:i/>
          <w:iCs/>
        </w:rPr>
        <w:t>in</w:t>
      </w:r>
      <w:r w:rsidRPr="00A5159E">
        <w:rPr>
          <w:b/>
          <w:bCs/>
          <w:i/>
          <w:iCs/>
        </w:rPr>
        <w:t>creases.</w:t>
      </w:r>
    </w:p>
    <w:p w14:paraId="73CB1A64" w14:textId="77777777" w:rsidR="00303F60" w:rsidRDefault="00303F60" w:rsidP="00303F60">
      <w:pPr>
        <w:jc w:val="both"/>
        <w:rPr>
          <w:b/>
          <w:i/>
        </w:rPr>
      </w:pPr>
      <w:r>
        <w:rPr>
          <w:b/>
          <w:i/>
        </w:rPr>
        <w:t xml:space="preserve">Observation </w:t>
      </w:r>
      <w:r w:rsidRPr="006408B1">
        <w:rPr>
          <w:b/>
          <w:i/>
        </w:rPr>
        <w:t>4</w:t>
      </w:r>
      <w:r>
        <w:rPr>
          <w:b/>
          <w:i/>
        </w:rPr>
        <w:t xml:space="preserve">: </w:t>
      </w:r>
      <w:r w:rsidRPr="00A5159E">
        <w:rPr>
          <w:b/>
          <w:i/>
        </w:rPr>
        <w:t>The selection of the RACH preamble sub-carrier spacing is a compromise between the RACH sequence capacity and the RACH resource overhead in a multi-beam system.</w:t>
      </w:r>
    </w:p>
    <w:p w14:paraId="51C05727" w14:textId="77777777" w:rsidR="00303F60" w:rsidRDefault="00303F60" w:rsidP="00303F60">
      <w:pPr>
        <w:jc w:val="both"/>
        <w:rPr>
          <w:bCs/>
          <w:iCs/>
        </w:rPr>
      </w:pPr>
      <w:r>
        <w:rPr>
          <w:bCs/>
          <w:iCs/>
        </w:rPr>
        <w:t>The number of RACH signatures per cell is selected based on the rate at which PRACH preambles are being randomly transmitted in a cell to achieve a low probability of collision on a PRACH resource/preamble index. A PRACH collision occurs when two or more users randomly select the same PRACH resource and the same preamble index. In LTE, the number of PRACH signatures per cell is 64. In NR, there are additional use cases for PRACH:</w:t>
      </w:r>
    </w:p>
    <w:p w14:paraId="5ADC5180" w14:textId="3A8839B3" w:rsidR="00303F60" w:rsidRPr="00A5159E" w:rsidRDefault="00303F60" w:rsidP="00303F60">
      <w:pPr>
        <w:pStyle w:val="ListParagraph"/>
        <w:numPr>
          <w:ilvl w:val="0"/>
          <w:numId w:val="38"/>
        </w:numPr>
        <w:spacing w:line="259" w:lineRule="auto"/>
        <w:jc w:val="both"/>
        <w:rPr>
          <w:sz w:val="20"/>
          <w:szCs w:val="20"/>
          <w:lang w:val="en-GB"/>
        </w:rPr>
      </w:pPr>
      <w:r w:rsidRPr="00A5159E">
        <w:rPr>
          <w:bCs/>
          <w:iCs/>
          <w:sz w:val="20"/>
          <w:lang w:val="en-GB"/>
        </w:rPr>
        <w:t>On demand SI [</w:t>
      </w:r>
      <w:r w:rsidRPr="00A5159E">
        <w:rPr>
          <w:sz w:val="20"/>
          <w:szCs w:val="20"/>
          <w:lang w:val="en-GB"/>
        </w:rPr>
        <w:t>RAN2#98 chairman notes],</w:t>
      </w:r>
      <w:r w:rsidR="00AA32EE">
        <w:rPr>
          <w:sz w:val="20"/>
          <w:szCs w:val="20"/>
          <w:lang w:val="en-GB"/>
        </w:rPr>
        <w:t xml:space="preserve"> and </w:t>
      </w:r>
      <w:r w:rsidR="00AA32EE">
        <w:rPr>
          <w:sz w:val="20"/>
          <w:szCs w:val="20"/>
          <w:lang w:val="en-GB"/>
        </w:rPr>
        <w:fldChar w:fldCharType="begin"/>
      </w:r>
      <w:r w:rsidR="00AA32EE">
        <w:rPr>
          <w:sz w:val="20"/>
          <w:szCs w:val="20"/>
          <w:lang w:val="en-GB"/>
        </w:rPr>
        <w:instrText xml:space="preserve"> REF _Ref489875851 \r \h </w:instrText>
      </w:r>
      <w:r w:rsidR="00AA32EE">
        <w:rPr>
          <w:sz w:val="20"/>
          <w:szCs w:val="20"/>
          <w:lang w:val="en-GB"/>
        </w:rPr>
      </w:r>
      <w:r w:rsidR="00AA32EE">
        <w:rPr>
          <w:sz w:val="20"/>
          <w:szCs w:val="20"/>
          <w:lang w:val="en-GB"/>
        </w:rPr>
        <w:fldChar w:fldCharType="separate"/>
      </w:r>
      <w:r w:rsidR="00AA32EE">
        <w:rPr>
          <w:sz w:val="20"/>
          <w:szCs w:val="20"/>
          <w:cs/>
          <w:lang w:val="en-GB"/>
        </w:rPr>
        <w:t>‎</w:t>
      </w:r>
      <w:r w:rsidR="00AA32EE">
        <w:rPr>
          <w:sz w:val="20"/>
          <w:szCs w:val="20"/>
          <w:lang w:val="en-GB"/>
        </w:rPr>
        <w:t>[5]</w:t>
      </w:r>
      <w:r w:rsidR="00AA32EE">
        <w:rPr>
          <w:sz w:val="20"/>
          <w:szCs w:val="20"/>
          <w:lang w:val="en-GB"/>
        </w:rPr>
        <w:fldChar w:fldCharType="end"/>
      </w:r>
      <w:r w:rsidR="00AA32EE">
        <w:rPr>
          <w:sz w:val="20"/>
          <w:szCs w:val="20"/>
          <w:lang w:val="en-GB"/>
        </w:rPr>
        <w:t>.</w:t>
      </w:r>
    </w:p>
    <w:p w14:paraId="512F8FA3" w14:textId="7FE3A5BD" w:rsidR="00303F60" w:rsidRDefault="00303F60" w:rsidP="00303F60">
      <w:pPr>
        <w:pStyle w:val="ListParagraph"/>
        <w:numPr>
          <w:ilvl w:val="0"/>
          <w:numId w:val="38"/>
        </w:numPr>
        <w:spacing w:line="259" w:lineRule="auto"/>
        <w:jc w:val="both"/>
        <w:rPr>
          <w:bCs/>
          <w:iCs/>
          <w:sz w:val="20"/>
          <w:lang w:val="en-GB"/>
        </w:rPr>
      </w:pPr>
      <w:r>
        <w:rPr>
          <w:bCs/>
          <w:iCs/>
          <w:sz w:val="20"/>
          <w:lang w:val="en-GB"/>
        </w:rPr>
        <w:t>Beam management and beam recovery</w:t>
      </w:r>
      <w:r w:rsidR="00C94209">
        <w:rPr>
          <w:bCs/>
          <w:iCs/>
          <w:sz w:val="20"/>
          <w:lang w:val="en-GB"/>
        </w:rPr>
        <w:t xml:space="preserve"> </w:t>
      </w:r>
      <w:r w:rsidR="00C94209">
        <w:rPr>
          <w:bCs/>
          <w:iCs/>
          <w:sz w:val="20"/>
          <w:lang w:val="en-GB"/>
        </w:rPr>
        <w:fldChar w:fldCharType="begin"/>
      </w:r>
      <w:r w:rsidR="00C94209">
        <w:rPr>
          <w:bCs/>
          <w:iCs/>
          <w:sz w:val="20"/>
          <w:lang w:val="en-GB"/>
        </w:rPr>
        <w:instrText xml:space="preserve"> REF _Ref484679182 \r \h </w:instrText>
      </w:r>
      <w:r w:rsidR="00C94209">
        <w:rPr>
          <w:bCs/>
          <w:iCs/>
          <w:sz w:val="20"/>
          <w:lang w:val="en-GB"/>
        </w:rPr>
      </w:r>
      <w:r w:rsidR="00C94209">
        <w:rPr>
          <w:bCs/>
          <w:iCs/>
          <w:sz w:val="20"/>
          <w:lang w:val="en-GB"/>
        </w:rPr>
        <w:fldChar w:fldCharType="separate"/>
      </w:r>
      <w:r w:rsidR="00C94209">
        <w:rPr>
          <w:bCs/>
          <w:iCs/>
          <w:sz w:val="20"/>
          <w:cs/>
          <w:lang w:val="en-GB"/>
        </w:rPr>
        <w:t>‎</w:t>
      </w:r>
      <w:r w:rsidR="00C94209">
        <w:rPr>
          <w:bCs/>
          <w:iCs/>
          <w:sz w:val="20"/>
          <w:lang w:val="en-GB"/>
        </w:rPr>
        <w:t>[6]</w:t>
      </w:r>
      <w:r w:rsidR="00C94209">
        <w:rPr>
          <w:bCs/>
          <w:iCs/>
          <w:sz w:val="20"/>
          <w:lang w:val="en-GB"/>
        </w:rPr>
        <w:fldChar w:fldCharType="end"/>
      </w:r>
      <w:r w:rsidR="00C94209">
        <w:rPr>
          <w:bCs/>
          <w:iCs/>
          <w:sz w:val="20"/>
          <w:lang w:val="en-GB"/>
        </w:rPr>
        <w:t>.</w:t>
      </w:r>
    </w:p>
    <w:p w14:paraId="28A64EE3" w14:textId="5B12A66D" w:rsidR="00303F60" w:rsidRDefault="00303F60" w:rsidP="00303F60">
      <w:pPr>
        <w:pStyle w:val="ListParagraph"/>
        <w:numPr>
          <w:ilvl w:val="0"/>
          <w:numId w:val="38"/>
        </w:numPr>
        <w:spacing w:line="259" w:lineRule="auto"/>
        <w:jc w:val="both"/>
        <w:rPr>
          <w:bCs/>
          <w:iCs/>
          <w:sz w:val="20"/>
          <w:lang w:val="en-GB"/>
        </w:rPr>
      </w:pPr>
      <w:r>
        <w:rPr>
          <w:bCs/>
          <w:iCs/>
          <w:sz w:val="20"/>
          <w:lang w:val="en-GB"/>
        </w:rPr>
        <w:t>Handover, while in connected mode handover use non-contention based RACH, yet it takes away from the resources available for contention based RACH. Furthermore, the UE can be configure to transmit multiple message 1, consuming additional PRACH resources</w:t>
      </w:r>
      <w:r w:rsidR="00E660DF">
        <w:rPr>
          <w:bCs/>
          <w:iCs/>
          <w:sz w:val="20"/>
          <w:lang w:val="en-GB"/>
        </w:rPr>
        <w:t xml:space="preserve"> </w:t>
      </w:r>
      <w:r w:rsidR="00E660DF">
        <w:rPr>
          <w:bCs/>
          <w:iCs/>
          <w:sz w:val="20"/>
          <w:lang w:val="en-GB"/>
        </w:rPr>
        <w:fldChar w:fldCharType="begin"/>
      </w:r>
      <w:r w:rsidR="00E660DF">
        <w:rPr>
          <w:bCs/>
          <w:iCs/>
          <w:sz w:val="20"/>
          <w:lang w:val="en-GB"/>
        </w:rPr>
        <w:instrText xml:space="preserve"> REF _Ref484777763 \r \h </w:instrText>
      </w:r>
      <w:r w:rsidR="00E660DF">
        <w:rPr>
          <w:bCs/>
          <w:iCs/>
          <w:sz w:val="20"/>
          <w:lang w:val="en-GB"/>
        </w:rPr>
      </w:r>
      <w:r w:rsidR="00E660DF">
        <w:rPr>
          <w:bCs/>
          <w:iCs/>
          <w:sz w:val="20"/>
          <w:lang w:val="en-GB"/>
        </w:rPr>
        <w:fldChar w:fldCharType="separate"/>
      </w:r>
      <w:r w:rsidR="00E660DF">
        <w:rPr>
          <w:bCs/>
          <w:iCs/>
          <w:sz w:val="20"/>
          <w:cs/>
          <w:lang w:val="en-GB"/>
        </w:rPr>
        <w:t>‎</w:t>
      </w:r>
      <w:r w:rsidR="00E660DF">
        <w:rPr>
          <w:bCs/>
          <w:iCs/>
          <w:sz w:val="20"/>
          <w:lang w:val="en-GB"/>
        </w:rPr>
        <w:t>[7]</w:t>
      </w:r>
      <w:r w:rsidR="00E660DF">
        <w:rPr>
          <w:bCs/>
          <w:iCs/>
          <w:sz w:val="20"/>
          <w:lang w:val="en-GB"/>
        </w:rPr>
        <w:fldChar w:fldCharType="end"/>
      </w:r>
      <w:r w:rsidR="00E660DF">
        <w:rPr>
          <w:bCs/>
          <w:iCs/>
          <w:sz w:val="20"/>
          <w:lang w:val="en-GB"/>
        </w:rPr>
        <w:t>.</w:t>
      </w:r>
    </w:p>
    <w:p w14:paraId="0F2D18CF" w14:textId="236B50D9" w:rsidR="00303F60" w:rsidRDefault="00303F60" w:rsidP="00303F60">
      <w:pPr>
        <w:pStyle w:val="ListParagraph"/>
        <w:numPr>
          <w:ilvl w:val="0"/>
          <w:numId w:val="38"/>
        </w:numPr>
        <w:spacing w:line="259" w:lineRule="auto"/>
        <w:jc w:val="both"/>
        <w:rPr>
          <w:bCs/>
          <w:iCs/>
          <w:sz w:val="20"/>
          <w:lang w:val="en-GB"/>
        </w:rPr>
      </w:pPr>
      <w:r>
        <w:rPr>
          <w:bCs/>
          <w:iCs/>
          <w:sz w:val="20"/>
          <w:lang w:val="en-GB"/>
        </w:rPr>
        <w:t>It has also been suggested to use PRACH for paging for uplink driven response from the UE</w:t>
      </w:r>
      <w:r w:rsidR="00E660DF">
        <w:rPr>
          <w:bCs/>
          <w:iCs/>
          <w:sz w:val="20"/>
          <w:lang w:val="en-GB"/>
        </w:rPr>
        <w:t xml:space="preserve"> </w:t>
      </w:r>
      <w:r w:rsidR="00E660DF">
        <w:rPr>
          <w:bCs/>
          <w:iCs/>
          <w:sz w:val="20"/>
          <w:lang w:val="en-GB"/>
        </w:rPr>
        <w:fldChar w:fldCharType="begin"/>
      </w:r>
      <w:r w:rsidR="00E660DF">
        <w:rPr>
          <w:bCs/>
          <w:iCs/>
          <w:sz w:val="20"/>
          <w:lang w:val="en-GB"/>
        </w:rPr>
        <w:instrText xml:space="preserve"> REF _Ref485312357 \r \h </w:instrText>
      </w:r>
      <w:r w:rsidR="00E660DF">
        <w:rPr>
          <w:bCs/>
          <w:iCs/>
          <w:sz w:val="20"/>
          <w:lang w:val="en-GB"/>
        </w:rPr>
      </w:r>
      <w:r w:rsidR="00E660DF">
        <w:rPr>
          <w:bCs/>
          <w:iCs/>
          <w:sz w:val="20"/>
          <w:lang w:val="en-GB"/>
        </w:rPr>
        <w:fldChar w:fldCharType="separate"/>
      </w:r>
      <w:r w:rsidR="00E660DF">
        <w:rPr>
          <w:bCs/>
          <w:iCs/>
          <w:sz w:val="20"/>
          <w:cs/>
          <w:lang w:val="en-GB"/>
        </w:rPr>
        <w:t>‎</w:t>
      </w:r>
      <w:r w:rsidR="00E660DF">
        <w:rPr>
          <w:bCs/>
          <w:iCs/>
          <w:sz w:val="20"/>
          <w:lang w:val="en-GB"/>
        </w:rPr>
        <w:t>[8]</w:t>
      </w:r>
      <w:r w:rsidR="00E660DF">
        <w:rPr>
          <w:bCs/>
          <w:iCs/>
          <w:sz w:val="20"/>
          <w:lang w:val="en-GB"/>
        </w:rPr>
        <w:fldChar w:fldCharType="end"/>
      </w:r>
      <w:r w:rsidR="00E660DF">
        <w:rPr>
          <w:bCs/>
          <w:iCs/>
          <w:sz w:val="20"/>
          <w:lang w:val="en-GB"/>
        </w:rPr>
        <w:fldChar w:fldCharType="begin"/>
      </w:r>
      <w:r w:rsidR="00E660DF">
        <w:rPr>
          <w:bCs/>
          <w:iCs/>
          <w:sz w:val="20"/>
          <w:lang w:val="en-GB"/>
        </w:rPr>
        <w:instrText xml:space="preserve"> REF _Ref485067824 \r \h </w:instrText>
      </w:r>
      <w:r w:rsidR="00E660DF">
        <w:rPr>
          <w:bCs/>
          <w:iCs/>
          <w:sz w:val="20"/>
          <w:lang w:val="en-GB"/>
        </w:rPr>
      </w:r>
      <w:r w:rsidR="00E660DF">
        <w:rPr>
          <w:bCs/>
          <w:iCs/>
          <w:sz w:val="20"/>
          <w:lang w:val="en-GB"/>
        </w:rPr>
        <w:fldChar w:fldCharType="separate"/>
      </w:r>
      <w:r w:rsidR="00E660DF">
        <w:rPr>
          <w:bCs/>
          <w:iCs/>
          <w:sz w:val="20"/>
          <w:cs/>
          <w:lang w:val="en-GB"/>
        </w:rPr>
        <w:t>‎</w:t>
      </w:r>
      <w:r w:rsidR="00E660DF">
        <w:rPr>
          <w:bCs/>
          <w:iCs/>
          <w:sz w:val="20"/>
          <w:lang w:val="en-GB"/>
        </w:rPr>
        <w:t>[9]</w:t>
      </w:r>
      <w:r w:rsidR="00E660DF">
        <w:rPr>
          <w:bCs/>
          <w:iCs/>
          <w:sz w:val="20"/>
          <w:lang w:val="en-GB"/>
        </w:rPr>
        <w:fldChar w:fldCharType="end"/>
      </w:r>
      <w:r w:rsidR="00E660DF">
        <w:rPr>
          <w:bCs/>
          <w:iCs/>
          <w:sz w:val="20"/>
          <w:lang w:val="en-GB"/>
        </w:rPr>
        <w:t>.</w:t>
      </w:r>
    </w:p>
    <w:p w14:paraId="501D7578" w14:textId="572BCC34" w:rsidR="00303F60" w:rsidRPr="00A5159E" w:rsidRDefault="00303F60" w:rsidP="00303F60">
      <w:pPr>
        <w:pStyle w:val="ListParagraph"/>
        <w:numPr>
          <w:ilvl w:val="0"/>
          <w:numId w:val="38"/>
        </w:numPr>
        <w:spacing w:line="259" w:lineRule="auto"/>
        <w:jc w:val="both"/>
        <w:rPr>
          <w:bCs/>
          <w:iCs/>
          <w:sz w:val="20"/>
          <w:lang w:val="en-GB"/>
        </w:rPr>
      </w:pPr>
      <w:r>
        <w:rPr>
          <w:bCs/>
          <w:iCs/>
          <w:sz w:val="20"/>
          <w:lang w:val="en-GB"/>
        </w:rPr>
        <w:t>RAN2 has agreed to partition the PRACH preambles into two preamble groups for different RACH message 3 size</w:t>
      </w:r>
      <w:r w:rsidR="007C67B3">
        <w:rPr>
          <w:bCs/>
          <w:iCs/>
          <w:sz w:val="20"/>
          <w:lang w:val="en-GB"/>
        </w:rPr>
        <w:t xml:space="preserve"> </w:t>
      </w:r>
      <w:r w:rsidR="007C67B3">
        <w:rPr>
          <w:bCs/>
          <w:iCs/>
          <w:sz w:val="20"/>
          <w:lang w:val="en-GB"/>
        </w:rPr>
        <w:fldChar w:fldCharType="begin"/>
      </w:r>
      <w:r w:rsidR="007C67B3">
        <w:rPr>
          <w:bCs/>
          <w:iCs/>
          <w:sz w:val="20"/>
          <w:lang w:val="en-GB"/>
        </w:rPr>
        <w:instrText xml:space="preserve"> REF _Ref490116767 \r \h </w:instrText>
      </w:r>
      <w:r w:rsidR="007C67B3">
        <w:rPr>
          <w:bCs/>
          <w:iCs/>
          <w:sz w:val="20"/>
          <w:lang w:val="en-GB"/>
        </w:rPr>
      </w:r>
      <w:r w:rsidR="007C67B3">
        <w:rPr>
          <w:bCs/>
          <w:iCs/>
          <w:sz w:val="20"/>
          <w:lang w:val="en-GB"/>
        </w:rPr>
        <w:fldChar w:fldCharType="separate"/>
      </w:r>
      <w:r w:rsidR="007C67B3">
        <w:rPr>
          <w:bCs/>
          <w:iCs/>
          <w:sz w:val="20"/>
          <w:cs/>
          <w:lang w:val="en-GB"/>
        </w:rPr>
        <w:t>‎</w:t>
      </w:r>
      <w:r w:rsidR="007C67B3">
        <w:rPr>
          <w:bCs/>
          <w:iCs/>
          <w:sz w:val="20"/>
          <w:lang w:val="en-GB"/>
        </w:rPr>
        <w:t>[10]</w:t>
      </w:r>
      <w:r w:rsidR="007C67B3">
        <w:rPr>
          <w:bCs/>
          <w:iCs/>
          <w:sz w:val="20"/>
          <w:lang w:val="en-GB"/>
        </w:rPr>
        <w:fldChar w:fldCharType="end"/>
      </w:r>
      <w:r>
        <w:rPr>
          <w:bCs/>
          <w:iCs/>
          <w:sz w:val="20"/>
          <w:lang w:val="en-GB"/>
        </w:rPr>
        <w:t>. This increases the number of PRACH preambles needed per cell.</w:t>
      </w:r>
    </w:p>
    <w:p w14:paraId="1530663F" w14:textId="77777777" w:rsidR="00303F60" w:rsidRDefault="00303F60" w:rsidP="00303F60">
      <w:pPr>
        <w:jc w:val="both"/>
        <w:rPr>
          <w:bCs/>
          <w:iCs/>
        </w:rPr>
      </w:pPr>
    </w:p>
    <w:p w14:paraId="7CCF36B4" w14:textId="77777777" w:rsidR="00303F60" w:rsidRDefault="00303F60" w:rsidP="00303F60">
      <w:pPr>
        <w:jc w:val="both"/>
        <w:rPr>
          <w:bCs/>
          <w:iCs/>
        </w:rPr>
      </w:pPr>
      <w:r>
        <w:rPr>
          <w:bCs/>
          <w:iCs/>
        </w:rPr>
        <w:t>The additional use cases for PRACH in NR, increases the PRACH traffic, which could require an increase in the number of PRACH signatures per cell over LTE to maintain a low probability of collision. This further necessitates the need to increase the PRACH capacity.</w:t>
      </w:r>
    </w:p>
    <w:p w14:paraId="3472A3F5" w14:textId="77777777" w:rsidR="00303F60" w:rsidRPr="00A5159E" w:rsidRDefault="00303F60" w:rsidP="00303F60">
      <w:pPr>
        <w:jc w:val="both"/>
        <w:rPr>
          <w:b/>
          <w:i/>
        </w:rPr>
      </w:pPr>
      <w:r w:rsidRPr="00A5159E">
        <w:rPr>
          <w:b/>
          <w:i/>
        </w:rPr>
        <w:t xml:space="preserve">Observation </w:t>
      </w:r>
      <w:r w:rsidRPr="006408B1">
        <w:rPr>
          <w:b/>
          <w:i/>
        </w:rPr>
        <w:t>5</w:t>
      </w:r>
      <w:r w:rsidRPr="00A5159E">
        <w:rPr>
          <w:b/>
          <w:i/>
        </w:rPr>
        <w:t>: Additional use cases for PRACH in NR, could require an increase in the number of PRACH signatures per cell over LTE. This further necessitates the need to increase the PRACH capacity.</w:t>
      </w:r>
    </w:p>
    <w:p w14:paraId="2D08BE8E" w14:textId="77777777" w:rsidR="00303F60" w:rsidRDefault="00303F60" w:rsidP="00303F60">
      <w:pPr>
        <w:jc w:val="both"/>
        <w:rPr>
          <w:bCs/>
          <w:iCs/>
        </w:rPr>
      </w:pPr>
      <w:r>
        <w:rPr>
          <w:bCs/>
          <w:iCs/>
        </w:rPr>
        <w:t>Furthermore, with the use of small cells and with cell densification, the PRACH sequence reuse factor increases, to reduce the impact of inter-cell PRACH interference. This leads to an increase in PRACH sequence capacity:</w:t>
      </w:r>
    </w:p>
    <w:p w14:paraId="43830B2D" w14:textId="77777777" w:rsidR="00303F60" w:rsidRDefault="00303F60" w:rsidP="00303F60">
      <w:pPr>
        <w:jc w:val="center"/>
        <w:rPr>
          <w:bCs/>
          <w:iCs/>
        </w:rPr>
      </w:pPr>
      <w:r>
        <w:rPr>
          <w:bCs/>
          <w:iCs/>
        </w:rPr>
        <w:t>PRACH sequence capacity = PRACH sequence reuse factor x number of signatures/cells ÷ Number of signatures/sequence</w:t>
      </w:r>
    </w:p>
    <w:p w14:paraId="1550A307" w14:textId="77777777" w:rsidR="00303F60" w:rsidRPr="00A5159E" w:rsidRDefault="00303F60" w:rsidP="00303F60">
      <w:pPr>
        <w:rPr>
          <w:b/>
          <w:i/>
        </w:rPr>
      </w:pPr>
      <w:r w:rsidRPr="00A5159E">
        <w:rPr>
          <w:b/>
          <w:i/>
        </w:rPr>
        <w:t xml:space="preserve">Observation </w:t>
      </w:r>
      <w:r w:rsidRPr="006408B1">
        <w:rPr>
          <w:b/>
          <w:i/>
        </w:rPr>
        <w:t>6</w:t>
      </w:r>
      <w:r w:rsidRPr="00A5159E">
        <w:rPr>
          <w:b/>
          <w:i/>
        </w:rPr>
        <w:t>: Cell densification and the use of small cells, necessities the increase</w:t>
      </w:r>
      <w:r>
        <w:rPr>
          <w:b/>
          <w:i/>
        </w:rPr>
        <w:t xml:space="preserve"> of</w:t>
      </w:r>
      <w:r w:rsidRPr="00A5159E">
        <w:rPr>
          <w:b/>
          <w:i/>
        </w:rPr>
        <w:t xml:space="preserve"> the PRACH </w:t>
      </w:r>
      <w:r>
        <w:rPr>
          <w:b/>
          <w:i/>
        </w:rPr>
        <w:t xml:space="preserve">sequence </w:t>
      </w:r>
      <w:r w:rsidRPr="00A5159E">
        <w:rPr>
          <w:b/>
          <w:i/>
        </w:rPr>
        <w:t>capacity.</w:t>
      </w:r>
    </w:p>
    <w:p w14:paraId="518B09AD" w14:textId="77777777" w:rsidR="00303F60" w:rsidRDefault="00303F60" w:rsidP="00303F60">
      <w:pPr>
        <w:jc w:val="both"/>
        <w:rPr>
          <w:bCs/>
          <w:iCs/>
        </w:rPr>
      </w:pPr>
      <w:r>
        <w:rPr>
          <w:bCs/>
          <w:iCs/>
        </w:rPr>
        <w:t>In this section, we have established the need to increase the PRACH capacity due to:</w:t>
      </w:r>
    </w:p>
    <w:p w14:paraId="5DFF0C49" w14:textId="77777777" w:rsidR="00303F60" w:rsidRPr="00A5159E" w:rsidRDefault="00303F60" w:rsidP="00303F60">
      <w:pPr>
        <w:pStyle w:val="ListParagraph"/>
        <w:numPr>
          <w:ilvl w:val="0"/>
          <w:numId w:val="39"/>
        </w:numPr>
        <w:spacing w:line="259" w:lineRule="auto"/>
        <w:jc w:val="both"/>
        <w:rPr>
          <w:bCs/>
          <w:iCs/>
          <w:sz w:val="20"/>
          <w:lang w:val="en-GB"/>
        </w:rPr>
      </w:pPr>
      <w:r w:rsidRPr="00A5159E">
        <w:rPr>
          <w:bCs/>
          <w:iCs/>
          <w:sz w:val="20"/>
          <w:lang w:val="en-GB"/>
        </w:rPr>
        <w:t xml:space="preserve">Short PRACH sequences with higher subcarrier </w:t>
      </w:r>
      <w:r>
        <w:rPr>
          <w:bCs/>
          <w:iCs/>
          <w:sz w:val="20"/>
          <w:lang w:val="en-GB"/>
        </w:rPr>
        <w:t>spacing</w:t>
      </w:r>
      <w:r w:rsidRPr="00A5159E">
        <w:rPr>
          <w:bCs/>
          <w:iCs/>
          <w:sz w:val="20"/>
          <w:lang w:val="en-GB"/>
        </w:rPr>
        <w:t xml:space="preserve"> have less </w:t>
      </w:r>
      <w:r w:rsidRPr="00022D51">
        <w:rPr>
          <w:bCs/>
          <w:iCs/>
          <w:sz w:val="20"/>
          <w:lang w:val="en-GB"/>
        </w:rPr>
        <w:t>capacity</w:t>
      </w:r>
      <w:r w:rsidRPr="00A5159E">
        <w:rPr>
          <w:bCs/>
          <w:iCs/>
          <w:sz w:val="20"/>
          <w:lang w:val="en-GB"/>
        </w:rPr>
        <w:t xml:space="preserve"> than long PRACH sequences or sequences with </w:t>
      </w:r>
      <w:r>
        <w:rPr>
          <w:bCs/>
          <w:iCs/>
          <w:sz w:val="20"/>
          <w:lang w:val="en-GB"/>
        </w:rPr>
        <w:t>lower</w:t>
      </w:r>
      <w:r w:rsidRPr="00A5159E">
        <w:rPr>
          <w:bCs/>
          <w:iCs/>
          <w:sz w:val="20"/>
          <w:lang w:val="en-GB"/>
        </w:rPr>
        <w:t xml:space="preserve"> subcarrier spacings.</w:t>
      </w:r>
    </w:p>
    <w:p w14:paraId="1C872F94" w14:textId="77777777" w:rsidR="00303F60" w:rsidRDefault="00303F60" w:rsidP="00303F60">
      <w:pPr>
        <w:pStyle w:val="ListParagraph"/>
        <w:numPr>
          <w:ilvl w:val="0"/>
          <w:numId w:val="39"/>
        </w:numPr>
        <w:spacing w:line="259" w:lineRule="auto"/>
        <w:jc w:val="both"/>
        <w:rPr>
          <w:bCs/>
          <w:iCs/>
          <w:sz w:val="20"/>
          <w:lang w:val="en-GB"/>
        </w:rPr>
      </w:pPr>
      <w:r>
        <w:rPr>
          <w:bCs/>
          <w:iCs/>
          <w:sz w:val="20"/>
          <w:lang w:val="en-GB"/>
        </w:rPr>
        <w:t>In a multi-beam system, the higher the PRACH subcarrier spacing, the less the overhead.</w:t>
      </w:r>
    </w:p>
    <w:p w14:paraId="0938F931" w14:textId="77777777" w:rsidR="00303F60" w:rsidRDefault="00303F60" w:rsidP="00303F60">
      <w:pPr>
        <w:pStyle w:val="ListParagraph"/>
        <w:numPr>
          <w:ilvl w:val="0"/>
          <w:numId w:val="39"/>
        </w:numPr>
        <w:spacing w:line="259" w:lineRule="auto"/>
        <w:jc w:val="both"/>
        <w:rPr>
          <w:bCs/>
          <w:iCs/>
          <w:sz w:val="20"/>
          <w:lang w:val="en-GB"/>
        </w:rPr>
      </w:pPr>
      <w:r>
        <w:rPr>
          <w:bCs/>
          <w:iCs/>
          <w:sz w:val="20"/>
          <w:lang w:val="en-GB"/>
        </w:rPr>
        <w:t>Additional use cases are expected in NR for PRACH.</w:t>
      </w:r>
    </w:p>
    <w:p w14:paraId="69BC77A8" w14:textId="77777777" w:rsidR="00303F60" w:rsidRDefault="00303F60" w:rsidP="00303F60">
      <w:pPr>
        <w:pStyle w:val="ListParagraph"/>
        <w:numPr>
          <w:ilvl w:val="0"/>
          <w:numId w:val="39"/>
        </w:numPr>
        <w:spacing w:line="259" w:lineRule="auto"/>
        <w:jc w:val="both"/>
        <w:rPr>
          <w:bCs/>
          <w:iCs/>
          <w:sz w:val="20"/>
          <w:lang w:val="en-GB"/>
        </w:rPr>
      </w:pPr>
      <w:r>
        <w:rPr>
          <w:bCs/>
          <w:iCs/>
          <w:sz w:val="20"/>
          <w:lang w:val="en-GB"/>
        </w:rPr>
        <w:t>With cell densification and the use of small cells, more PRACH capacity is needed to increase the reuse factor between cells that use the same PRACH sequence/signature set, to reduce the impact of inter-cell PRACH interference.</w:t>
      </w:r>
    </w:p>
    <w:p w14:paraId="7E476455" w14:textId="4548F19C" w:rsidR="00303F60" w:rsidRPr="00A5159E" w:rsidRDefault="00303F60" w:rsidP="00303F60">
      <w:pPr>
        <w:jc w:val="both"/>
        <w:rPr>
          <w:b/>
          <w:i/>
        </w:rPr>
      </w:pPr>
      <w:r w:rsidRPr="00A5159E">
        <w:rPr>
          <w:b/>
          <w:i/>
        </w:rPr>
        <w:t xml:space="preserve"> Proposal</w:t>
      </w:r>
      <w:r>
        <w:rPr>
          <w:b/>
          <w:i/>
        </w:rPr>
        <w:t xml:space="preserve"> </w:t>
      </w:r>
      <w:r w:rsidR="006408B1">
        <w:rPr>
          <w:b/>
          <w:i/>
        </w:rPr>
        <w:t>5</w:t>
      </w:r>
      <w:r>
        <w:rPr>
          <w:b/>
          <w:i/>
        </w:rPr>
        <w:t>: NR shall adopt</w:t>
      </w:r>
      <w:r w:rsidRPr="00A5159E">
        <w:rPr>
          <w:b/>
          <w:i/>
        </w:rPr>
        <w:t xml:space="preserve"> mechanisms to increase the PRACH capacity.</w:t>
      </w:r>
      <w:r w:rsidRPr="00A5159E">
        <w:rPr>
          <w:b/>
          <w:i/>
          <w:vanish/>
        </w:rPr>
        <w:t>f inter-cell RACH intereference.</w:t>
      </w:r>
      <w:r w:rsidRPr="00A5159E">
        <w:rPr>
          <w:b/>
          <w:i/>
          <w:vanish/>
        </w:rPr>
        <w:cr/>
        <w:t>educe the imapct e same ...e less the overhead.long PRACH sequences or sequences with larger s</w:t>
      </w:r>
    </w:p>
    <w:p w14:paraId="13E11E32" w14:textId="2914065B" w:rsidR="00303F60" w:rsidRDefault="000473E0" w:rsidP="00303F60">
      <w:pPr>
        <w:pStyle w:val="Heading1"/>
      </w:pPr>
      <w:r>
        <w:t>4</w:t>
      </w:r>
      <w:r w:rsidR="00303F60">
        <w:tab/>
        <w:t>Solutions for PRACH capacity enhancement</w:t>
      </w:r>
    </w:p>
    <w:p w14:paraId="09B39CD1" w14:textId="2FB45832" w:rsidR="00303F60" w:rsidRPr="00A5159E" w:rsidRDefault="00303F60" w:rsidP="00303F60">
      <w:pPr>
        <w:jc w:val="both"/>
      </w:pPr>
      <w:r>
        <w:t>In sect</w:t>
      </w:r>
      <w:r w:rsidR="000473E0">
        <w:t>ion 3</w:t>
      </w:r>
      <w:r>
        <w:t>, we established the need to increase the PRACH sequence capacity. In this section, we discuss and compare various methods that have been proposed to increase the PRACH sequence and propose a way forward to increase the PRACH sequence capacity.</w:t>
      </w:r>
    </w:p>
    <w:p w14:paraId="4A93A424" w14:textId="35312B54" w:rsidR="00303F60" w:rsidRPr="00A5159E" w:rsidRDefault="00303F60" w:rsidP="00303F60">
      <w:pPr>
        <w:tabs>
          <w:tab w:val="left" w:pos="1030"/>
        </w:tabs>
        <w:jc w:val="both"/>
      </w:pPr>
      <w:r w:rsidRPr="00A5159E">
        <w:t xml:space="preserve">In RAN1#88, the following agreement was </w:t>
      </w:r>
      <w:r w:rsidRPr="007C67B3">
        <w:t>reached</w:t>
      </w:r>
      <w:r w:rsidR="007C67B3">
        <w:t xml:space="preserve"> </w:t>
      </w:r>
      <w:r w:rsidR="007C67B3">
        <w:fldChar w:fldCharType="begin"/>
      </w:r>
      <w:r w:rsidR="007C67B3">
        <w:instrText xml:space="preserve"> REF _Ref484679182 \r \h </w:instrText>
      </w:r>
      <w:r w:rsidR="007C67B3">
        <w:fldChar w:fldCharType="separate"/>
      </w:r>
      <w:r w:rsidR="007C67B3">
        <w:rPr>
          <w:cs/>
        </w:rPr>
        <w:t>‎</w:t>
      </w:r>
      <w:r w:rsidR="007C67B3">
        <w:t>[6]</w:t>
      </w:r>
      <w:r w:rsidR="007C67B3">
        <w:fldChar w:fldCharType="end"/>
      </w:r>
      <w:r w:rsidRPr="007C67B3">
        <w:t>:</w:t>
      </w:r>
    </w:p>
    <w:p w14:paraId="1D0CC4FC" w14:textId="77777777" w:rsidR="00303F60" w:rsidRDefault="00303F60" w:rsidP="00303F60">
      <w:pPr>
        <w:tabs>
          <w:tab w:val="left" w:pos="1030"/>
        </w:tabs>
        <w:jc w:val="both"/>
      </w:pPr>
      <w:r>
        <w:rPr>
          <w:noProof/>
        </w:rPr>
        <w:lastRenderedPageBreak/>
        <mc:AlternateContent>
          <mc:Choice Requires="wps">
            <w:drawing>
              <wp:anchor distT="0" distB="0" distL="114300" distR="114300" simplePos="0" relativeHeight="251659264" behindDoc="0" locked="0" layoutInCell="1" allowOverlap="1" wp14:anchorId="256F1716" wp14:editId="31D55AD8">
                <wp:simplePos x="0" y="0"/>
                <wp:positionH relativeFrom="column">
                  <wp:posOffset>0</wp:posOffset>
                </wp:positionH>
                <wp:positionV relativeFrom="paragraph">
                  <wp:posOffset>0</wp:posOffset>
                </wp:positionV>
                <wp:extent cx="1828800" cy="1828800"/>
                <wp:effectExtent l="0" t="0" r="0" b="0"/>
                <wp:wrapSquare wrapText="bothSides"/>
                <wp:docPr id="4" name="Text Box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0AACD6F1" w14:textId="77777777" w:rsidR="00303F60" w:rsidRPr="00A5159E" w:rsidRDefault="00303F60" w:rsidP="00303F60">
                            <w:pPr>
                              <w:rPr>
                                <w:rFonts w:eastAsia="MS Mincho"/>
                                <w:b/>
                                <w:u w:val="single"/>
                                <w:lang w:eastAsia="ja-JP"/>
                              </w:rPr>
                            </w:pPr>
                            <w:r w:rsidRPr="00A5159E">
                              <w:rPr>
                                <w:rFonts w:eastAsia="MS Mincho"/>
                                <w:b/>
                                <w:highlight w:val="green"/>
                                <w:u w:val="single"/>
                                <w:lang w:eastAsia="ja-JP"/>
                              </w:rPr>
                              <w:t>Agreements:</w:t>
                            </w:r>
                          </w:p>
                          <w:p w14:paraId="23BE9D0A" w14:textId="77777777" w:rsidR="00303F60" w:rsidRPr="00A5159E" w:rsidRDefault="00303F60" w:rsidP="00303F60">
                            <w:pPr>
                              <w:numPr>
                                <w:ilvl w:val="0"/>
                                <w:numId w:val="33"/>
                              </w:numPr>
                              <w:overflowPunct/>
                              <w:autoSpaceDE/>
                              <w:autoSpaceDN/>
                              <w:adjustRightInd/>
                              <w:spacing w:after="0"/>
                              <w:textAlignment w:val="auto"/>
                              <w:rPr>
                                <w:rFonts w:eastAsia="MS Mincho"/>
                                <w:lang w:eastAsia="ja-JP"/>
                              </w:rPr>
                            </w:pPr>
                            <w:r w:rsidRPr="00A5159E">
                              <w:rPr>
                                <w:rFonts w:eastAsia="MS Mincho"/>
                                <w:bCs/>
                                <w:lang w:eastAsia="ja-JP"/>
                              </w:rPr>
                              <w:t>NR RACH capacity shall be at least as high as in LTE</w:t>
                            </w:r>
                          </w:p>
                          <w:p w14:paraId="629B5907" w14:textId="77777777" w:rsidR="00303F60" w:rsidRPr="00A5159E" w:rsidRDefault="00303F60" w:rsidP="00303F60">
                            <w:pPr>
                              <w:numPr>
                                <w:ilvl w:val="1"/>
                                <w:numId w:val="33"/>
                              </w:numPr>
                              <w:overflowPunct/>
                              <w:autoSpaceDE/>
                              <w:autoSpaceDN/>
                              <w:adjustRightInd/>
                              <w:spacing w:after="0"/>
                              <w:textAlignment w:val="auto"/>
                              <w:rPr>
                                <w:rFonts w:eastAsia="MS Mincho"/>
                                <w:lang w:eastAsia="ja-JP"/>
                              </w:rPr>
                            </w:pPr>
                            <w:r w:rsidRPr="00A5159E">
                              <w:rPr>
                                <w:rFonts w:eastAsia="MS Mincho"/>
                                <w:lang w:eastAsia="ja-JP"/>
                              </w:rPr>
                              <w:t>Such capacity is achieved by time/code/frequency multiplexing for a given total amount of time/frequency resources</w:t>
                            </w:r>
                          </w:p>
                          <w:p w14:paraId="7CB35DEC" w14:textId="77777777" w:rsidR="00303F60" w:rsidRPr="00A5159E" w:rsidRDefault="00303F60" w:rsidP="00303F60">
                            <w:pPr>
                              <w:numPr>
                                <w:ilvl w:val="0"/>
                                <w:numId w:val="33"/>
                              </w:numPr>
                              <w:overflowPunct/>
                              <w:autoSpaceDE/>
                              <w:autoSpaceDN/>
                              <w:adjustRightInd/>
                              <w:spacing w:after="0"/>
                              <w:textAlignment w:val="auto"/>
                              <w:rPr>
                                <w:rFonts w:eastAsia="MS Mincho"/>
                                <w:lang w:eastAsia="ja-JP"/>
                              </w:rPr>
                            </w:pPr>
                            <w:r w:rsidRPr="00A5159E">
                              <w:rPr>
                                <w:rFonts w:eastAsia="MS Mincho"/>
                                <w:bCs/>
                                <w:lang w:eastAsia="ja-JP"/>
                              </w:rPr>
                              <w:t>Zadoff-Chu sequence is adopted in NR</w:t>
                            </w:r>
                          </w:p>
                          <w:p w14:paraId="082714A8" w14:textId="77777777" w:rsidR="00303F60" w:rsidRPr="00A5159E" w:rsidRDefault="00303F60" w:rsidP="00303F60">
                            <w:pPr>
                              <w:numPr>
                                <w:ilvl w:val="1"/>
                                <w:numId w:val="33"/>
                              </w:numPr>
                              <w:overflowPunct/>
                              <w:autoSpaceDE/>
                              <w:autoSpaceDN/>
                              <w:adjustRightInd/>
                              <w:spacing w:after="0"/>
                              <w:textAlignment w:val="auto"/>
                              <w:rPr>
                                <w:rFonts w:eastAsia="MS Mincho"/>
                                <w:lang w:eastAsia="ja-JP"/>
                              </w:rPr>
                            </w:pPr>
                            <w:r w:rsidRPr="00A5159E">
                              <w:rPr>
                                <w:rFonts w:eastAsia="MS Mincho"/>
                                <w:bCs/>
                                <w:lang w:eastAsia="ja-JP"/>
                              </w:rPr>
                              <w:t>FFS other sequence type and / or other methods in addition to Zadoff-Chu sequence for the scenario, e.g., high speed and large cells</w:t>
                            </w:r>
                          </w:p>
                          <w:p w14:paraId="5E50367D" w14:textId="77777777" w:rsidR="00303F60" w:rsidRPr="00A5159E" w:rsidRDefault="00303F60" w:rsidP="00303F60">
                            <w:pPr>
                              <w:numPr>
                                <w:ilvl w:val="2"/>
                                <w:numId w:val="33"/>
                              </w:numPr>
                              <w:overflowPunct/>
                              <w:autoSpaceDE/>
                              <w:autoSpaceDN/>
                              <w:adjustRightInd/>
                              <w:spacing w:after="0"/>
                              <w:textAlignment w:val="auto"/>
                              <w:rPr>
                                <w:rFonts w:eastAsia="MS Mincho"/>
                                <w:lang w:eastAsia="ja-JP"/>
                              </w:rPr>
                            </w:pPr>
                            <w:r w:rsidRPr="00A5159E">
                              <w:rPr>
                                <w:rFonts w:eastAsia="MS Mincho"/>
                                <w:bCs/>
                                <w:lang w:eastAsia="ja-JP"/>
                              </w:rPr>
                              <w:t>FFS definition of large cell and high speed</w:t>
                            </w:r>
                          </w:p>
                          <w:p w14:paraId="464741DC" w14:textId="77777777" w:rsidR="00303F60" w:rsidRPr="00A5159E" w:rsidRDefault="00303F60" w:rsidP="00303F60">
                            <w:pPr>
                              <w:numPr>
                                <w:ilvl w:val="1"/>
                                <w:numId w:val="33"/>
                              </w:numPr>
                              <w:overflowPunct/>
                              <w:autoSpaceDE/>
                              <w:autoSpaceDN/>
                              <w:adjustRightInd/>
                              <w:spacing w:after="0"/>
                              <w:textAlignment w:val="auto"/>
                              <w:rPr>
                                <w:rFonts w:eastAsia="MS Mincho"/>
                                <w:lang w:eastAsia="ja-JP"/>
                              </w:rPr>
                            </w:pPr>
                            <w:r w:rsidRPr="00A5159E">
                              <w:rPr>
                                <w:rFonts w:eastAsia="MS Mincho"/>
                                <w:bCs/>
                                <w:lang w:eastAsia="ja-JP"/>
                              </w:rPr>
                              <w:t>FFS other sequence type and / or other methods for capacity enhancements, e.g.:</w:t>
                            </w:r>
                          </w:p>
                          <w:p w14:paraId="36B676B4" w14:textId="77777777" w:rsidR="00303F60" w:rsidRPr="00A5159E" w:rsidRDefault="00303F60" w:rsidP="00303F60">
                            <w:pPr>
                              <w:numPr>
                                <w:ilvl w:val="2"/>
                                <w:numId w:val="33"/>
                              </w:numPr>
                              <w:overflowPunct/>
                              <w:autoSpaceDE/>
                              <w:autoSpaceDN/>
                              <w:adjustRightInd/>
                              <w:spacing w:after="0"/>
                              <w:textAlignment w:val="auto"/>
                              <w:rPr>
                                <w:rFonts w:eastAsia="MS Mincho"/>
                                <w:lang w:eastAsia="ja-JP"/>
                              </w:rPr>
                            </w:pPr>
                            <w:r w:rsidRPr="00A5159E">
                              <w:rPr>
                                <w:rFonts w:eastAsia="MS Mincho"/>
                                <w:lang w:eastAsia="ja-JP"/>
                              </w:rPr>
                              <w:t xml:space="preserve">At least in multi-beam and low speed scenario, regarding multiple/repeated PRACH preamble formats, option 2 with OCC across preambles </w:t>
                            </w:r>
                          </w:p>
                          <w:p w14:paraId="10F4B2CE" w14:textId="77777777" w:rsidR="00303F60" w:rsidRPr="00A5159E" w:rsidRDefault="00303F60" w:rsidP="00303F60">
                            <w:pPr>
                              <w:numPr>
                                <w:ilvl w:val="3"/>
                                <w:numId w:val="33"/>
                              </w:numPr>
                              <w:overflowPunct/>
                              <w:autoSpaceDE/>
                              <w:autoSpaceDN/>
                              <w:adjustRightInd/>
                              <w:spacing w:after="0"/>
                              <w:textAlignment w:val="auto"/>
                              <w:rPr>
                                <w:rFonts w:eastAsia="MS Mincho"/>
                                <w:lang w:eastAsia="ja-JP"/>
                              </w:rPr>
                            </w:pPr>
                            <w:r w:rsidRPr="00A5159E">
                              <w:rPr>
                                <w:rFonts w:eastAsia="MS Mincho"/>
                                <w:lang w:eastAsia="ja-JP"/>
                              </w:rPr>
                              <w:t>FFS: Option 2 with OCC across multiple/repeated preambles in high speed scenarios</w:t>
                            </w:r>
                          </w:p>
                          <w:p w14:paraId="167C5364" w14:textId="77777777" w:rsidR="00303F60" w:rsidRPr="00A5159E" w:rsidRDefault="00303F60" w:rsidP="00303F60">
                            <w:pPr>
                              <w:numPr>
                                <w:ilvl w:val="2"/>
                                <w:numId w:val="33"/>
                              </w:numPr>
                              <w:overflowPunct/>
                              <w:autoSpaceDE/>
                              <w:autoSpaceDN/>
                              <w:adjustRightInd/>
                              <w:spacing w:after="0"/>
                              <w:textAlignment w:val="auto"/>
                              <w:rPr>
                                <w:rFonts w:eastAsia="MS Mincho"/>
                                <w:lang w:eastAsia="ja-JP"/>
                              </w:rPr>
                            </w:pPr>
                            <w:r w:rsidRPr="00A5159E">
                              <w:rPr>
                                <w:rFonts w:eastAsia="MS Mincho"/>
                                <w:lang w:eastAsia="ja-JP"/>
                              </w:rPr>
                              <w:t>PRACH preamble design composed with multiple different ZC sequences</w:t>
                            </w:r>
                          </w:p>
                          <w:p w14:paraId="3A97F2E7" w14:textId="77777777" w:rsidR="00303F60" w:rsidRPr="00A5159E" w:rsidRDefault="00303F60" w:rsidP="00303F60">
                            <w:pPr>
                              <w:numPr>
                                <w:ilvl w:val="2"/>
                                <w:numId w:val="33"/>
                              </w:numPr>
                              <w:overflowPunct/>
                              <w:autoSpaceDE/>
                              <w:autoSpaceDN/>
                              <w:adjustRightInd/>
                              <w:spacing w:after="0"/>
                              <w:textAlignment w:val="auto"/>
                              <w:rPr>
                                <w:rFonts w:eastAsia="MS Mincho"/>
                                <w:lang w:eastAsia="ja-JP"/>
                              </w:rPr>
                            </w:pPr>
                            <w:r w:rsidRPr="00A5159E">
                              <w:rPr>
                                <w:rFonts w:eastAsia="MS Mincho"/>
                                <w:lang w:eastAsia="ja-JP"/>
                              </w:rPr>
                              <w:t>Sinusoidal modulation on top of option 1</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256F1716" id="_x0000_t202" coordsize="21600,21600" o:spt="202" path="m,l,21600r21600,l21600,xe">
                <v:stroke joinstyle="miter"/>
                <v:path gradientshapeok="t" o:connecttype="rect"/>
              </v:shapetype>
              <v:shape id="Text Box 4" o:spid="_x0000_s1026" type="#_x0000_t202" style="position:absolute;left:0;text-align:left;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FhRQOY6AgAAeAQAAA4AAAAAAAAAAAAAAAAA&#10;LgIAAGRycy9lMm9Eb2MueG1sUEsBAi0AFAAGAAgAAAAhALcMAwjXAAAABQEAAA8AAAAAAAAAAAAA&#10;AAAAlAQAAGRycy9kb3ducmV2LnhtbFBLBQYAAAAABAAEAPMAAACYBQAAAAA=&#10;" filled="f" strokeweight=".5pt">
                <v:textbox style="mso-fit-shape-to-text:t">
                  <w:txbxContent>
                    <w:p w14:paraId="0AACD6F1" w14:textId="77777777" w:rsidR="00303F60" w:rsidRPr="00A5159E" w:rsidRDefault="00303F60" w:rsidP="00303F60">
                      <w:pPr>
                        <w:rPr>
                          <w:rFonts w:eastAsia="MS Mincho"/>
                          <w:b/>
                          <w:u w:val="single"/>
                          <w:lang w:eastAsia="ja-JP"/>
                        </w:rPr>
                      </w:pPr>
                      <w:r w:rsidRPr="00A5159E">
                        <w:rPr>
                          <w:rFonts w:eastAsia="MS Mincho"/>
                          <w:b/>
                          <w:highlight w:val="green"/>
                          <w:u w:val="single"/>
                          <w:lang w:eastAsia="ja-JP"/>
                        </w:rPr>
                        <w:t>Agreements:</w:t>
                      </w:r>
                    </w:p>
                    <w:p w14:paraId="23BE9D0A" w14:textId="77777777" w:rsidR="00303F60" w:rsidRPr="00A5159E" w:rsidRDefault="00303F60" w:rsidP="00303F60">
                      <w:pPr>
                        <w:numPr>
                          <w:ilvl w:val="0"/>
                          <w:numId w:val="33"/>
                        </w:numPr>
                        <w:overflowPunct/>
                        <w:autoSpaceDE/>
                        <w:autoSpaceDN/>
                        <w:adjustRightInd/>
                        <w:spacing w:after="0"/>
                        <w:textAlignment w:val="auto"/>
                        <w:rPr>
                          <w:rFonts w:eastAsia="MS Mincho"/>
                          <w:lang w:eastAsia="ja-JP"/>
                        </w:rPr>
                      </w:pPr>
                      <w:r w:rsidRPr="00A5159E">
                        <w:rPr>
                          <w:rFonts w:eastAsia="MS Mincho"/>
                          <w:bCs/>
                          <w:lang w:eastAsia="ja-JP"/>
                        </w:rPr>
                        <w:t>NR RACH capacity shall be at least as high as in LTE</w:t>
                      </w:r>
                    </w:p>
                    <w:p w14:paraId="629B5907" w14:textId="77777777" w:rsidR="00303F60" w:rsidRPr="00A5159E" w:rsidRDefault="00303F60" w:rsidP="00303F60">
                      <w:pPr>
                        <w:numPr>
                          <w:ilvl w:val="1"/>
                          <w:numId w:val="33"/>
                        </w:numPr>
                        <w:overflowPunct/>
                        <w:autoSpaceDE/>
                        <w:autoSpaceDN/>
                        <w:adjustRightInd/>
                        <w:spacing w:after="0"/>
                        <w:textAlignment w:val="auto"/>
                        <w:rPr>
                          <w:rFonts w:eastAsia="MS Mincho"/>
                          <w:lang w:eastAsia="ja-JP"/>
                        </w:rPr>
                      </w:pPr>
                      <w:r w:rsidRPr="00A5159E">
                        <w:rPr>
                          <w:rFonts w:eastAsia="MS Mincho"/>
                          <w:lang w:eastAsia="ja-JP"/>
                        </w:rPr>
                        <w:t>Such capacity is achieved by time/code/frequency multiplexing for a given total amount of time/frequency resources</w:t>
                      </w:r>
                    </w:p>
                    <w:p w14:paraId="7CB35DEC" w14:textId="77777777" w:rsidR="00303F60" w:rsidRPr="00A5159E" w:rsidRDefault="00303F60" w:rsidP="00303F60">
                      <w:pPr>
                        <w:numPr>
                          <w:ilvl w:val="0"/>
                          <w:numId w:val="33"/>
                        </w:numPr>
                        <w:overflowPunct/>
                        <w:autoSpaceDE/>
                        <w:autoSpaceDN/>
                        <w:adjustRightInd/>
                        <w:spacing w:after="0"/>
                        <w:textAlignment w:val="auto"/>
                        <w:rPr>
                          <w:rFonts w:eastAsia="MS Mincho"/>
                          <w:lang w:eastAsia="ja-JP"/>
                        </w:rPr>
                      </w:pPr>
                      <w:r w:rsidRPr="00A5159E">
                        <w:rPr>
                          <w:rFonts w:eastAsia="MS Mincho"/>
                          <w:bCs/>
                          <w:lang w:eastAsia="ja-JP"/>
                        </w:rPr>
                        <w:t>Zadoff-Chu sequence is adopted in NR</w:t>
                      </w:r>
                    </w:p>
                    <w:p w14:paraId="082714A8" w14:textId="77777777" w:rsidR="00303F60" w:rsidRPr="00A5159E" w:rsidRDefault="00303F60" w:rsidP="00303F60">
                      <w:pPr>
                        <w:numPr>
                          <w:ilvl w:val="1"/>
                          <w:numId w:val="33"/>
                        </w:numPr>
                        <w:overflowPunct/>
                        <w:autoSpaceDE/>
                        <w:autoSpaceDN/>
                        <w:adjustRightInd/>
                        <w:spacing w:after="0"/>
                        <w:textAlignment w:val="auto"/>
                        <w:rPr>
                          <w:rFonts w:eastAsia="MS Mincho"/>
                          <w:lang w:eastAsia="ja-JP"/>
                        </w:rPr>
                      </w:pPr>
                      <w:r w:rsidRPr="00A5159E">
                        <w:rPr>
                          <w:rFonts w:eastAsia="MS Mincho"/>
                          <w:bCs/>
                          <w:lang w:eastAsia="ja-JP"/>
                        </w:rPr>
                        <w:t>FFS other sequence type and / or other methods in addition to Zadoff-Chu sequence for the scenario, e.g., high speed and large cells</w:t>
                      </w:r>
                    </w:p>
                    <w:p w14:paraId="5E50367D" w14:textId="77777777" w:rsidR="00303F60" w:rsidRPr="00A5159E" w:rsidRDefault="00303F60" w:rsidP="00303F60">
                      <w:pPr>
                        <w:numPr>
                          <w:ilvl w:val="2"/>
                          <w:numId w:val="33"/>
                        </w:numPr>
                        <w:overflowPunct/>
                        <w:autoSpaceDE/>
                        <w:autoSpaceDN/>
                        <w:adjustRightInd/>
                        <w:spacing w:after="0"/>
                        <w:textAlignment w:val="auto"/>
                        <w:rPr>
                          <w:rFonts w:eastAsia="MS Mincho"/>
                          <w:lang w:eastAsia="ja-JP"/>
                        </w:rPr>
                      </w:pPr>
                      <w:r w:rsidRPr="00A5159E">
                        <w:rPr>
                          <w:rFonts w:eastAsia="MS Mincho"/>
                          <w:bCs/>
                          <w:lang w:eastAsia="ja-JP"/>
                        </w:rPr>
                        <w:t>FFS definition of large cell and high speed</w:t>
                      </w:r>
                    </w:p>
                    <w:p w14:paraId="464741DC" w14:textId="77777777" w:rsidR="00303F60" w:rsidRPr="00A5159E" w:rsidRDefault="00303F60" w:rsidP="00303F60">
                      <w:pPr>
                        <w:numPr>
                          <w:ilvl w:val="1"/>
                          <w:numId w:val="33"/>
                        </w:numPr>
                        <w:overflowPunct/>
                        <w:autoSpaceDE/>
                        <w:autoSpaceDN/>
                        <w:adjustRightInd/>
                        <w:spacing w:after="0"/>
                        <w:textAlignment w:val="auto"/>
                        <w:rPr>
                          <w:rFonts w:eastAsia="MS Mincho"/>
                          <w:lang w:eastAsia="ja-JP"/>
                        </w:rPr>
                      </w:pPr>
                      <w:r w:rsidRPr="00A5159E">
                        <w:rPr>
                          <w:rFonts w:eastAsia="MS Mincho"/>
                          <w:bCs/>
                          <w:lang w:eastAsia="ja-JP"/>
                        </w:rPr>
                        <w:t>FFS other sequence type and / or other methods for capacity enhancements, e.g.:</w:t>
                      </w:r>
                    </w:p>
                    <w:p w14:paraId="36B676B4" w14:textId="77777777" w:rsidR="00303F60" w:rsidRPr="00A5159E" w:rsidRDefault="00303F60" w:rsidP="00303F60">
                      <w:pPr>
                        <w:numPr>
                          <w:ilvl w:val="2"/>
                          <w:numId w:val="33"/>
                        </w:numPr>
                        <w:overflowPunct/>
                        <w:autoSpaceDE/>
                        <w:autoSpaceDN/>
                        <w:adjustRightInd/>
                        <w:spacing w:after="0"/>
                        <w:textAlignment w:val="auto"/>
                        <w:rPr>
                          <w:rFonts w:eastAsia="MS Mincho"/>
                          <w:lang w:eastAsia="ja-JP"/>
                        </w:rPr>
                      </w:pPr>
                      <w:r w:rsidRPr="00A5159E">
                        <w:rPr>
                          <w:rFonts w:eastAsia="MS Mincho"/>
                          <w:lang w:eastAsia="ja-JP"/>
                        </w:rPr>
                        <w:t xml:space="preserve">At least in multi-beam and low speed scenario, regarding multiple/repeated PRACH preamble formats, option 2 with OCC across preambles </w:t>
                      </w:r>
                    </w:p>
                    <w:p w14:paraId="10F4B2CE" w14:textId="77777777" w:rsidR="00303F60" w:rsidRPr="00A5159E" w:rsidRDefault="00303F60" w:rsidP="00303F60">
                      <w:pPr>
                        <w:numPr>
                          <w:ilvl w:val="3"/>
                          <w:numId w:val="33"/>
                        </w:numPr>
                        <w:overflowPunct/>
                        <w:autoSpaceDE/>
                        <w:autoSpaceDN/>
                        <w:adjustRightInd/>
                        <w:spacing w:after="0"/>
                        <w:textAlignment w:val="auto"/>
                        <w:rPr>
                          <w:rFonts w:eastAsia="MS Mincho"/>
                          <w:lang w:eastAsia="ja-JP"/>
                        </w:rPr>
                      </w:pPr>
                      <w:r w:rsidRPr="00A5159E">
                        <w:rPr>
                          <w:rFonts w:eastAsia="MS Mincho"/>
                          <w:lang w:eastAsia="ja-JP"/>
                        </w:rPr>
                        <w:t>FFS: Option 2 with OCC across multiple/repeated preambles in high speed scenarios</w:t>
                      </w:r>
                    </w:p>
                    <w:p w14:paraId="167C5364" w14:textId="77777777" w:rsidR="00303F60" w:rsidRPr="00A5159E" w:rsidRDefault="00303F60" w:rsidP="00303F60">
                      <w:pPr>
                        <w:numPr>
                          <w:ilvl w:val="2"/>
                          <w:numId w:val="33"/>
                        </w:numPr>
                        <w:overflowPunct/>
                        <w:autoSpaceDE/>
                        <w:autoSpaceDN/>
                        <w:adjustRightInd/>
                        <w:spacing w:after="0"/>
                        <w:textAlignment w:val="auto"/>
                        <w:rPr>
                          <w:rFonts w:eastAsia="MS Mincho"/>
                          <w:lang w:eastAsia="ja-JP"/>
                        </w:rPr>
                      </w:pPr>
                      <w:r w:rsidRPr="00A5159E">
                        <w:rPr>
                          <w:rFonts w:eastAsia="MS Mincho"/>
                          <w:lang w:eastAsia="ja-JP"/>
                        </w:rPr>
                        <w:t>PRACH preamble design composed with multiple different ZC sequences</w:t>
                      </w:r>
                    </w:p>
                    <w:p w14:paraId="3A97F2E7" w14:textId="77777777" w:rsidR="00303F60" w:rsidRPr="00A5159E" w:rsidRDefault="00303F60" w:rsidP="00303F60">
                      <w:pPr>
                        <w:numPr>
                          <w:ilvl w:val="2"/>
                          <w:numId w:val="33"/>
                        </w:numPr>
                        <w:overflowPunct/>
                        <w:autoSpaceDE/>
                        <w:autoSpaceDN/>
                        <w:adjustRightInd/>
                        <w:spacing w:after="0"/>
                        <w:textAlignment w:val="auto"/>
                        <w:rPr>
                          <w:rFonts w:eastAsia="MS Mincho"/>
                          <w:lang w:eastAsia="ja-JP"/>
                        </w:rPr>
                      </w:pPr>
                      <w:r w:rsidRPr="00A5159E">
                        <w:rPr>
                          <w:rFonts w:eastAsia="MS Mincho"/>
                          <w:lang w:eastAsia="ja-JP"/>
                        </w:rPr>
                        <w:t>Sinusoidal modulation on top of option 1</w:t>
                      </w:r>
                    </w:p>
                  </w:txbxContent>
                </v:textbox>
                <w10:wrap type="square"/>
              </v:shape>
            </w:pict>
          </mc:Fallback>
        </mc:AlternateContent>
      </w:r>
    </w:p>
    <w:p w14:paraId="0DEDAB1A" w14:textId="77777777" w:rsidR="00303F60" w:rsidRPr="00A5159E" w:rsidRDefault="00303F60" w:rsidP="00303F60">
      <w:pPr>
        <w:tabs>
          <w:tab w:val="left" w:pos="1030"/>
        </w:tabs>
        <w:jc w:val="both"/>
      </w:pPr>
      <w:r>
        <w:t>T</w:t>
      </w:r>
      <w:r w:rsidRPr="00A5159E">
        <w:t>he normalized capacity of PRACH preamble short sequence at low Doppler is smaller than that of PRACH preamble long sequence. Some methods have been proposed to increase the preamble sequence such as:</w:t>
      </w:r>
    </w:p>
    <w:p w14:paraId="71C9B6B8" w14:textId="332384ED" w:rsidR="00303F60" w:rsidRPr="00A5159E" w:rsidRDefault="00303F60" w:rsidP="00303F60">
      <w:pPr>
        <w:pStyle w:val="ListParagraph"/>
        <w:numPr>
          <w:ilvl w:val="0"/>
          <w:numId w:val="35"/>
        </w:numPr>
        <w:tabs>
          <w:tab w:val="left" w:pos="1030"/>
        </w:tabs>
        <w:spacing w:line="259" w:lineRule="auto"/>
        <w:jc w:val="both"/>
        <w:rPr>
          <w:sz w:val="20"/>
          <w:szCs w:val="20"/>
          <w:lang w:val="en-GB"/>
        </w:rPr>
      </w:pPr>
      <w:r w:rsidRPr="00A5159E">
        <w:rPr>
          <w:sz w:val="20"/>
          <w:szCs w:val="20"/>
          <w:lang w:val="en-GB"/>
        </w:rPr>
        <w:t xml:space="preserve">Using preamble format </w:t>
      </w:r>
      <w:r>
        <w:rPr>
          <w:sz w:val="20"/>
          <w:szCs w:val="20"/>
          <w:lang w:val="en-GB"/>
        </w:rPr>
        <w:t xml:space="preserve">option </w:t>
      </w:r>
      <w:r w:rsidRPr="00A5159E">
        <w:rPr>
          <w:sz w:val="20"/>
          <w:szCs w:val="20"/>
          <w:lang w:val="en-GB"/>
        </w:rPr>
        <w:t>2 with OCC</w:t>
      </w:r>
      <w:r>
        <w:rPr>
          <w:sz w:val="20"/>
          <w:szCs w:val="20"/>
          <w:lang w:val="en-GB"/>
        </w:rPr>
        <w:t xml:space="preserve"> </w:t>
      </w:r>
      <w:r w:rsidR="00B026BD">
        <w:rPr>
          <w:sz w:val="20"/>
          <w:szCs w:val="20"/>
          <w:highlight w:val="yellow"/>
          <w:lang w:val="en-GB"/>
        </w:rPr>
        <w:fldChar w:fldCharType="begin"/>
      </w:r>
      <w:r w:rsidR="00B026BD">
        <w:rPr>
          <w:sz w:val="20"/>
          <w:szCs w:val="20"/>
          <w:lang w:val="en-GB"/>
        </w:rPr>
        <w:instrText xml:space="preserve"> REF _Ref492660057 \r \h </w:instrText>
      </w:r>
      <w:r w:rsidR="00B026BD">
        <w:rPr>
          <w:sz w:val="20"/>
          <w:szCs w:val="20"/>
          <w:highlight w:val="yellow"/>
          <w:lang w:val="en-GB"/>
        </w:rPr>
      </w:r>
      <w:r w:rsidR="00B026BD">
        <w:rPr>
          <w:sz w:val="20"/>
          <w:szCs w:val="20"/>
          <w:highlight w:val="yellow"/>
          <w:lang w:val="en-GB"/>
        </w:rPr>
        <w:fldChar w:fldCharType="separate"/>
      </w:r>
      <w:r w:rsidR="00B026BD">
        <w:rPr>
          <w:sz w:val="20"/>
          <w:szCs w:val="20"/>
          <w:cs/>
          <w:lang w:val="en-GB"/>
        </w:rPr>
        <w:t>‎</w:t>
      </w:r>
      <w:r w:rsidR="00B026BD">
        <w:rPr>
          <w:sz w:val="20"/>
          <w:szCs w:val="20"/>
          <w:lang w:val="en-GB"/>
        </w:rPr>
        <w:t>[11]</w:t>
      </w:r>
      <w:r w:rsidR="00B026BD">
        <w:rPr>
          <w:sz w:val="20"/>
          <w:szCs w:val="20"/>
          <w:highlight w:val="yellow"/>
          <w:lang w:val="en-GB"/>
        </w:rPr>
        <w:fldChar w:fldCharType="end"/>
      </w:r>
      <w:r w:rsidR="00B026BD">
        <w:rPr>
          <w:sz w:val="20"/>
          <w:szCs w:val="20"/>
          <w:lang w:val="en-GB"/>
        </w:rPr>
        <w:t>,</w:t>
      </w:r>
      <w:r w:rsidRPr="00A5159E">
        <w:rPr>
          <w:sz w:val="20"/>
          <w:szCs w:val="20"/>
          <w:lang w:val="en-GB"/>
        </w:rPr>
        <w:t xml:space="preserve"> or using preamble format 1 with sinusoidal modulation</w:t>
      </w:r>
      <w:r>
        <w:rPr>
          <w:sz w:val="20"/>
          <w:szCs w:val="20"/>
          <w:lang w:val="en-GB"/>
        </w:rPr>
        <w:t xml:space="preserve"> </w:t>
      </w:r>
      <w:r w:rsidR="00B026BD">
        <w:rPr>
          <w:sz w:val="20"/>
          <w:szCs w:val="20"/>
          <w:highlight w:val="yellow"/>
          <w:lang w:val="en-GB"/>
        </w:rPr>
        <w:fldChar w:fldCharType="begin"/>
      </w:r>
      <w:r w:rsidR="00B026BD">
        <w:rPr>
          <w:sz w:val="20"/>
          <w:szCs w:val="20"/>
          <w:lang w:val="en-GB"/>
        </w:rPr>
        <w:instrText xml:space="preserve"> REF _Ref492660085 \r \h </w:instrText>
      </w:r>
      <w:r w:rsidR="00B026BD">
        <w:rPr>
          <w:sz w:val="20"/>
          <w:szCs w:val="20"/>
          <w:highlight w:val="yellow"/>
          <w:lang w:val="en-GB"/>
        </w:rPr>
      </w:r>
      <w:r w:rsidR="00B026BD">
        <w:rPr>
          <w:sz w:val="20"/>
          <w:szCs w:val="20"/>
          <w:highlight w:val="yellow"/>
          <w:lang w:val="en-GB"/>
        </w:rPr>
        <w:fldChar w:fldCharType="separate"/>
      </w:r>
      <w:r w:rsidR="00B026BD">
        <w:rPr>
          <w:sz w:val="20"/>
          <w:szCs w:val="20"/>
          <w:cs/>
          <w:lang w:val="en-GB"/>
        </w:rPr>
        <w:t>‎</w:t>
      </w:r>
      <w:r w:rsidR="00B026BD">
        <w:rPr>
          <w:sz w:val="20"/>
          <w:szCs w:val="20"/>
          <w:lang w:val="en-GB"/>
        </w:rPr>
        <w:t>[12]</w:t>
      </w:r>
      <w:r w:rsidR="00B026BD">
        <w:rPr>
          <w:sz w:val="20"/>
          <w:szCs w:val="20"/>
          <w:highlight w:val="yellow"/>
          <w:lang w:val="en-GB"/>
        </w:rPr>
        <w:fldChar w:fldCharType="end"/>
      </w:r>
      <w:r w:rsidR="00B026BD">
        <w:rPr>
          <w:sz w:val="20"/>
          <w:szCs w:val="20"/>
          <w:lang w:val="en-GB"/>
        </w:rPr>
        <w:t>.</w:t>
      </w:r>
      <w:r w:rsidRPr="00A5159E">
        <w:rPr>
          <w:sz w:val="20"/>
          <w:szCs w:val="20"/>
          <w:lang w:val="en-GB"/>
        </w:rPr>
        <w:t xml:space="preserve"> Both of these methods increase the PRACH preamble sequence capacity linearly. But there is also a linear increase in the preamble format length. Hence, there is no net increase in the normalized PRACH preamble sequence capacity.</w:t>
      </w:r>
    </w:p>
    <w:p w14:paraId="6273AC79" w14:textId="5188EC2B" w:rsidR="00303F60" w:rsidRPr="00A5159E" w:rsidRDefault="00303F60" w:rsidP="00303F60">
      <w:pPr>
        <w:pStyle w:val="ListParagraph"/>
        <w:numPr>
          <w:ilvl w:val="0"/>
          <w:numId w:val="35"/>
        </w:numPr>
        <w:tabs>
          <w:tab w:val="left" w:pos="1030"/>
        </w:tabs>
        <w:spacing w:line="259" w:lineRule="auto"/>
        <w:jc w:val="both"/>
        <w:rPr>
          <w:sz w:val="20"/>
          <w:szCs w:val="20"/>
          <w:lang w:val="en-GB"/>
        </w:rPr>
      </w:pPr>
      <w:r w:rsidRPr="00A5159E">
        <w:rPr>
          <w:sz w:val="20"/>
          <w:szCs w:val="20"/>
          <w:lang w:val="en-GB"/>
        </w:rPr>
        <w:t xml:space="preserve">Using preamble format </w:t>
      </w:r>
      <w:r>
        <w:rPr>
          <w:sz w:val="20"/>
          <w:szCs w:val="20"/>
          <w:lang w:val="en-GB"/>
        </w:rPr>
        <w:t xml:space="preserve">option </w:t>
      </w:r>
      <w:r w:rsidRPr="00A5159E">
        <w:rPr>
          <w:sz w:val="20"/>
          <w:szCs w:val="20"/>
          <w:lang w:val="en-GB"/>
        </w:rPr>
        <w:t>4</w:t>
      </w:r>
      <w:r>
        <w:rPr>
          <w:sz w:val="20"/>
          <w:szCs w:val="20"/>
          <w:lang w:val="en-GB"/>
        </w:rPr>
        <w:t xml:space="preserve"> </w:t>
      </w:r>
      <w:r w:rsidR="00CA2DB2" w:rsidRPr="00CA2DB2">
        <w:rPr>
          <w:sz w:val="20"/>
          <w:szCs w:val="20"/>
          <w:lang w:val="en-GB"/>
        </w:rPr>
        <w:fldChar w:fldCharType="begin"/>
      </w:r>
      <w:r w:rsidR="00CA2DB2" w:rsidRPr="00CA2DB2">
        <w:rPr>
          <w:sz w:val="20"/>
          <w:szCs w:val="20"/>
          <w:lang w:val="en-GB"/>
        </w:rPr>
        <w:instrText xml:space="preserve"> REF _Ref492661025 \r \h </w:instrText>
      </w:r>
      <w:r w:rsidR="00CA2DB2">
        <w:rPr>
          <w:sz w:val="20"/>
          <w:szCs w:val="20"/>
          <w:lang w:val="en-GB"/>
        </w:rPr>
        <w:instrText xml:space="preserve"> \* MERGEFORMAT </w:instrText>
      </w:r>
      <w:r w:rsidR="00CA2DB2" w:rsidRPr="00CA2DB2">
        <w:rPr>
          <w:sz w:val="20"/>
          <w:szCs w:val="20"/>
          <w:lang w:val="en-GB"/>
        </w:rPr>
      </w:r>
      <w:r w:rsidR="00CA2DB2" w:rsidRPr="00CA2DB2">
        <w:rPr>
          <w:sz w:val="20"/>
          <w:szCs w:val="20"/>
          <w:lang w:val="en-GB"/>
        </w:rPr>
        <w:fldChar w:fldCharType="separate"/>
      </w:r>
      <w:r w:rsidR="00CA2DB2" w:rsidRPr="00CA2DB2">
        <w:rPr>
          <w:sz w:val="20"/>
          <w:szCs w:val="20"/>
          <w:cs/>
          <w:lang w:val="en-GB"/>
        </w:rPr>
        <w:t>‎</w:t>
      </w:r>
      <w:r w:rsidR="00CA2DB2" w:rsidRPr="00CA2DB2">
        <w:rPr>
          <w:sz w:val="20"/>
          <w:szCs w:val="20"/>
          <w:lang w:val="en-GB"/>
        </w:rPr>
        <w:t>[13]</w:t>
      </w:r>
      <w:r w:rsidR="00CA2DB2" w:rsidRPr="00CA2DB2">
        <w:rPr>
          <w:sz w:val="20"/>
          <w:szCs w:val="20"/>
          <w:lang w:val="en-GB"/>
        </w:rPr>
        <w:fldChar w:fldCharType="end"/>
      </w:r>
      <w:r w:rsidR="00CA2DB2" w:rsidRPr="00CA2DB2">
        <w:rPr>
          <w:sz w:val="20"/>
          <w:szCs w:val="20"/>
          <w:lang w:val="en-GB"/>
        </w:rPr>
        <w:fldChar w:fldCharType="begin"/>
      </w:r>
      <w:r w:rsidR="00CA2DB2" w:rsidRPr="00CA2DB2">
        <w:rPr>
          <w:sz w:val="20"/>
          <w:szCs w:val="20"/>
          <w:lang w:val="en-GB"/>
        </w:rPr>
        <w:instrText xml:space="preserve"> REF _Ref492661028 \r \h </w:instrText>
      </w:r>
      <w:r w:rsidR="00CA2DB2">
        <w:rPr>
          <w:sz w:val="20"/>
          <w:szCs w:val="20"/>
          <w:lang w:val="en-GB"/>
        </w:rPr>
        <w:instrText xml:space="preserve"> \* MERGEFORMAT </w:instrText>
      </w:r>
      <w:r w:rsidR="00CA2DB2" w:rsidRPr="00CA2DB2">
        <w:rPr>
          <w:sz w:val="20"/>
          <w:szCs w:val="20"/>
          <w:lang w:val="en-GB"/>
        </w:rPr>
      </w:r>
      <w:r w:rsidR="00CA2DB2" w:rsidRPr="00CA2DB2">
        <w:rPr>
          <w:sz w:val="20"/>
          <w:szCs w:val="20"/>
          <w:lang w:val="en-GB"/>
        </w:rPr>
        <w:fldChar w:fldCharType="separate"/>
      </w:r>
      <w:r w:rsidR="00CA2DB2" w:rsidRPr="00CA2DB2">
        <w:rPr>
          <w:sz w:val="20"/>
          <w:szCs w:val="20"/>
          <w:cs/>
          <w:lang w:val="en-GB"/>
        </w:rPr>
        <w:t>‎</w:t>
      </w:r>
      <w:r w:rsidR="00CA2DB2" w:rsidRPr="00CA2DB2">
        <w:rPr>
          <w:sz w:val="20"/>
          <w:szCs w:val="20"/>
          <w:lang w:val="en-GB"/>
        </w:rPr>
        <w:t>[14]</w:t>
      </w:r>
      <w:r w:rsidR="00CA2DB2" w:rsidRPr="00CA2DB2">
        <w:rPr>
          <w:sz w:val="20"/>
          <w:szCs w:val="20"/>
          <w:lang w:val="en-GB"/>
        </w:rPr>
        <w:fldChar w:fldCharType="end"/>
      </w:r>
      <w:r w:rsidR="00CA2DB2" w:rsidRPr="00CA2DB2">
        <w:rPr>
          <w:sz w:val="20"/>
          <w:szCs w:val="20"/>
          <w:lang w:val="en-GB"/>
        </w:rPr>
        <w:fldChar w:fldCharType="begin"/>
      </w:r>
      <w:r w:rsidR="00CA2DB2" w:rsidRPr="00CA2DB2">
        <w:rPr>
          <w:sz w:val="20"/>
          <w:szCs w:val="20"/>
          <w:lang w:val="en-GB"/>
        </w:rPr>
        <w:instrText xml:space="preserve"> REF _Ref492661031 \r \h </w:instrText>
      </w:r>
      <w:r w:rsidR="00CA2DB2">
        <w:rPr>
          <w:sz w:val="20"/>
          <w:szCs w:val="20"/>
          <w:lang w:val="en-GB"/>
        </w:rPr>
        <w:instrText xml:space="preserve"> \* MERGEFORMAT </w:instrText>
      </w:r>
      <w:r w:rsidR="00CA2DB2" w:rsidRPr="00CA2DB2">
        <w:rPr>
          <w:sz w:val="20"/>
          <w:szCs w:val="20"/>
          <w:lang w:val="en-GB"/>
        </w:rPr>
      </w:r>
      <w:r w:rsidR="00CA2DB2" w:rsidRPr="00CA2DB2">
        <w:rPr>
          <w:sz w:val="20"/>
          <w:szCs w:val="20"/>
          <w:lang w:val="en-GB"/>
        </w:rPr>
        <w:fldChar w:fldCharType="separate"/>
      </w:r>
      <w:r w:rsidR="00CA2DB2" w:rsidRPr="00CA2DB2">
        <w:rPr>
          <w:sz w:val="20"/>
          <w:szCs w:val="20"/>
          <w:cs/>
          <w:lang w:val="en-GB"/>
        </w:rPr>
        <w:t>‎</w:t>
      </w:r>
      <w:r w:rsidR="00CA2DB2" w:rsidRPr="00CA2DB2">
        <w:rPr>
          <w:sz w:val="20"/>
          <w:szCs w:val="20"/>
          <w:lang w:val="en-GB"/>
        </w:rPr>
        <w:t>[15]</w:t>
      </w:r>
      <w:r w:rsidR="00CA2DB2" w:rsidRPr="00CA2DB2">
        <w:rPr>
          <w:sz w:val="20"/>
          <w:szCs w:val="20"/>
          <w:lang w:val="en-GB"/>
        </w:rPr>
        <w:fldChar w:fldCharType="end"/>
      </w:r>
      <w:r w:rsidR="00CA2DB2" w:rsidRPr="00CA2DB2">
        <w:rPr>
          <w:sz w:val="20"/>
          <w:szCs w:val="20"/>
          <w:lang w:val="en-GB"/>
        </w:rPr>
        <w:fldChar w:fldCharType="begin"/>
      </w:r>
      <w:r w:rsidR="00CA2DB2" w:rsidRPr="00CA2DB2">
        <w:rPr>
          <w:sz w:val="20"/>
          <w:szCs w:val="20"/>
          <w:lang w:val="en-GB"/>
        </w:rPr>
        <w:instrText xml:space="preserve"> REF _Ref490140424 \r \h </w:instrText>
      </w:r>
      <w:r w:rsidR="00CA2DB2">
        <w:rPr>
          <w:sz w:val="20"/>
          <w:szCs w:val="20"/>
          <w:lang w:val="en-GB"/>
        </w:rPr>
        <w:instrText xml:space="preserve"> \* MERGEFORMAT </w:instrText>
      </w:r>
      <w:r w:rsidR="00CA2DB2" w:rsidRPr="00CA2DB2">
        <w:rPr>
          <w:sz w:val="20"/>
          <w:szCs w:val="20"/>
          <w:lang w:val="en-GB"/>
        </w:rPr>
      </w:r>
      <w:r w:rsidR="00CA2DB2" w:rsidRPr="00CA2DB2">
        <w:rPr>
          <w:sz w:val="20"/>
          <w:szCs w:val="20"/>
          <w:lang w:val="en-GB"/>
        </w:rPr>
        <w:fldChar w:fldCharType="separate"/>
      </w:r>
      <w:r w:rsidR="00CA2DB2" w:rsidRPr="00CA2DB2">
        <w:rPr>
          <w:sz w:val="20"/>
          <w:szCs w:val="20"/>
          <w:cs/>
          <w:lang w:val="en-GB"/>
        </w:rPr>
        <w:t>‎</w:t>
      </w:r>
      <w:r w:rsidR="00CA2DB2" w:rsidRPr="00CA2DB2">
        <w:rPr>
          <w:sz w:val="20"/>
          <w:szCs w:val="20"/>
          <w:lang w:val="en-GB"/>
        </w:rPr>
        <w:t>[16]</w:t>
      </w:r>
      <w:r w:rsidR="00CA2DB2" w:rsidRPr="00CA2DB2">
        <w:rPr>
          <w:sz w:val="20"/>
          <w:szCs w:val="20"/>
          <w:lang w:val="en-GB"/>
        </w:rPr>
        <w:fldChar w:fldCharType="end"/>
      </w:r>
      <w:r w:rsidRPr="00CA2DB2">
        <w:rPr>
          <w:sz w:val="20"/>
          <w:szCs w:val="20"/>
          <w:lang w:val="en-GB"/>
        </w:rPr>
        <w:t xml:space="preserve"> increases</w:t>
      </w:r>
      <w:r w:rsidRPr="00A5159E">
        <w:rPr>
          <w:sz w:val="20"/>
          <w:szCs w:val="20"/>
          <w:lang w:val="en-GB"/>
        </w:rPr>
        <w:t xml:space="preserve"> the PRACH preamble sequence capacity exponential, with a linear increase in the PRACH preamble time. Hence, there is a net increase in the normalized PRACH preamble sequence capacity.</w:t>
      </w:r>
      <w:r>
        <w:rPr>
          <w:sz w:val="20"/>
          <w:szCs w:val="20"/>
          <w:lang w:val="en-GB"/>
        </w:rPr>
        <w:t xml:space="preserve"> However, direct usage of preamble format option 4 has some drawbacks as discussed later.</w:t>
      </w:r>
    </w:p>
    <w:p w14:paraId="0AAC9313" w14:textId="77777777" w:rsidR="00303F60" w:rsidRPr="00A5159E" w:rsidRDefault="00303F60" w:rsidP="00303F60">
      <w:pPr>
        <w:tabs>
          <w:tab w:val="left" w:pos="1030"/>
        </w:tabs>
        <w:jc w:val="both"/>
      </w:pPr>
    </w:p>
    <w:p w14:paraId="1992EFB6" w14:textId="77777777" w:rsidR="00303F60" w:rsidRPr="00A5159E" w:rsidRDefault="00303F60" w:rsidP="00303F60">
      <w:pPr>
        <w:tabs>
          <w:tab w:val="left" w:pos="1030"/>
        </w:tabs>
        <w:jc w:val="both"/>
      </w:pPr>
      <w:r w:rsidRPr="00A5159E">
        <w:t>Let’s consider as an example, the following three preamble format</w:t>
      </w:r>
      <w:r>
        <w:t xml:space="preserve"> option</w:t>
      </w:r>
      <w:r w:rsidRPr="00A5159E">
        <w:t>s:</w:t>
      </w:r>
    </w:p>
    <w:p w14:paraId="3502C840" w14:textId="77777777" w:rsidR="00303F60" w:rsidRPr="00A5159E" w:rsidRDefault="00303F60" w:rsidP="00303F60">
      <w:pPr>
        <w:pStyle w:val="ListParagraph"/>
        <w:numPr>
          <w:ilvl w:val="0"/>
          <w:numId w:val="35"/>
        </w:numPr>
        <w:tabs>
          <w:tab w:val="left" w:pos="1030"/>
        </w:tabs>
        <w:spacing w:line="259" w:lineRule="auto"/>
        <w:jc w:val="both"/>
        <w:rPr>
          <w:sz w:val="20"/>
          <w:szCs w:val="20"/>
          <w:lang w:val="en-GB"/>
        </w:rPr>
      </w:pPr>
      <w:r w:rsidRPr="00A5159E">
        <w:rPr>
          <w:sz w:val="20"/>
          <w:szCs w:val="20"/>
          <w:lang w:val="en-GB"/>
        </w:rPr>
        <w:t xml:space="preserve">RACH preamble format </w:t>
      </w:r>
      <w:r>
        <w:rPr>
          <w:sz w:val="20"/>
          <w:szCs w:val="20"/>
          <w:lang w:val="en-GB"/>
        </w:rPr>
        <w:t xml:space="preserve">option </w:t>
      </w:r>
      <w:r w:rsidRPr="00A5159E">
        <w:rPr>
          <w:sz w:val="20"/>
          <w:szCs w:val="20"/>
          <w:lang w:val="en-GB"/>
        </w:rPr>
        <w:t>1 with SCS = 60 KHz.</w:t>
      </w:r>
    </w:p>
    <w:p w14:paraId="46C8FC64" w14:textId="77777777" w:rsidR="00303F60" w:rsidRPr="00A5159E" w:rsidRDefault="00303F60" w:rsidP="00303F60">
      <w:pPr>
        <w:pStyle w:val="ListParagraph"/>
        <w:numPr>
          <w:ilvl w:val="0"/>
          <w:numId w:val="35"/>
        </w:numPr>
        <w:tabs>
          <w:tab w:val="left" w:pos="1030"/>
        </w:tabs>
        <w:spacing w:line="259" w:lineRule="auto"/>
        <w:jc w:val="both"/>
        <w:rPr>
          <w:sz w:val="20"/>
          <w:szCs w:val="20"/>
          <w:lang w:val="en-GB"/>
        </w:rPr>
      </w:pPr>
      <w:r w:rsidRPr="00A5159E">
        <w:rPr>
          <w:sz w:val="20"/>
          <w:szCs w:val="20"/>
          <w:lang w:val="en-GB"/>
        </w:rPr>
        <w:t xml:space="preserve">RACH preamble format </w:t>
      </w:r>
      <w:r>
        <w:rPr>
          <w:sz w:val="20"/>
          <w:szCs w:val="20"/>
          <w:lang w:val="en-GB"/>
        </w:rPr>
        <w:t xml:space="preserve">option </w:t>
      </w:r>
      <w:r w:rsidRPr="00A5159E">
        <w:rPr>
          <w:sz w:val="20"/>
          <w:szCs w:val="20"/>
          <w:lang w:val="en-GB"/>
        </w:rPr>
        <w:t>2 with SCS = 120 KHz</w:t>
      </w:r>
    </w:p>
    <w:p w14:paraId="27876A90" w14:textId="77777777" w:rsidR="00303F60" w:rsidRPr="00A5159E" w:rsidRDefault="00303F60" w:rsidP="00303F60">
      <w:pPr>
        <w:pStyle w:val="ListParagraph"/>
        <w:numPr>
          <w:ilvl w:val="0"/>
          <w:numId w:val="35"/>
        </w:numPr>
        <w:tabs>
          <w:tab w:val="left" w:pos="1030"/>
        </w:tabs>
        <w:spacing w:line="259" w:lineRule="auto"/>
        <w:jc w:val="both"/>
        <w:rPr>
          <w:sz w:val="20"/>
          <w:szCs w:val="20"/>
          <w:lang w:val="en-GB"/>
        </w:rPr>
      </w:pPr>
      <w:r w:rsidRPr="00A5159E">
        <w:rPr>
          <w:sz w:val="20"/>
          <w:szCs w:val="20"/>
          <w:lang w:val="en-GB"/>
        </w:rPr>
        <w:t xml:space="preserve">RACH preamble format </w:t>
      </w:r>
      <w:r>
        <w:rPr>
          <w:sz w:val="20"/>
          <w:szCs w:val="20"/>
          <w:lang w:val="en-GB"/>
        </w:rPr>
        <w:t xml:space="preserve">option </w:t>
      </w:r>
      <w:r w:rsidRPr="00A5159E">
        <w:rPr>
          <w:sz w:val="20"/>
          <w:szCs w:val="20"/>
          <w:lang w:val="en-GB"/>
        </w:rPr>
        <w:t>4 with SCS = 120 KHz</w:t>
      </w:r>
    </w:p>
    <w:p w14:paraId="110FCED0" w14:textId="77777777" w:rsidR="00303F60" w:rsidRPr="00A5159E" w:rsidRDefault="00303F60" w:rsidP="00303F60">
      <w:pPr>
        <w:tabs>
          <w:tab w:val="left" w:pos="1030"/>
        </w:tabs>
        <w:jc w:val="both"/>
      </w:pPr>
    </w:p>
    <w:p w14:paraId="267DB364" w14:textId="77777777" w:rsidR="00303F60" w:rsidRPr="00A5159E" w:rsidRDefault="00303F60" w:rsidP="00303F60">
      <w:pPr>
        <w:tabs>
          <w:tab w:val="left" w:pos="1030"/>
        </w:tabs>
        <w:jc w:val="both"/>
      </w:pPr>
      <w:r w:rsidRPr="00A5159E">
        <w:t>All three preamble format</w:t>
      </w:r>
      <w:r>
        <w:t xml:space="preserve"> option</w:t>
      </w:r>
      <w:r w:rsidRPr="00A5159E">
        <w:t xml:space="preserve">s have the same duration. </w:t>
      </w:r>
      <w:r w:rsidRPr="00A5159E">
        <w:fldChar w:fldCharType="begin"/>
      </w:r>
      <w:r w:rsidRPr="00A5159E">
        <w:instrText xml:space="preserve"> REF _Ref485320205 \h  \* MERGEFORMAT </w:instrText>
      </w:r>
      <w:r w:rsidRPr="00A5159E">
        <w:fldChar w:fldCharType="separate"/>
      </w:r>
      <w:r w:rsidRPr="00A5159E">
        <w:t xml:space="preserve">Table </w:t>
      </w:r>
      <w:r w:rsidRPr="00A5159E">
        <w:rPr>
          <w:noProof/>
        </w:rPr>
        <w:t>2</w:t>
      </w:r>
      <w:r w:rsidRPr="00A5159E">
        <w:fldChar w:fldCharType="end"/>
      </w:r>
      <w:r w:rsidRPr="00A5159E">
        <w:t xml:space="preserve"> compares the normalized PRACH preamble sequence capacity of the three preamble format</w:t>
      </w:r>
      <w:r>
        <w:t xml:space="preserve"> option</w:t>
      </w:r>
      <w:r w:rsidRPr="00A5159E">
        <w:t>s.</w:t>
      </w:r>
    </w:p>
    <w:p w14:paraId="3F57D526" w14:textId="3370EC2D" w:rsidR="00303F60" w:rsidRPr="00865F18" w:rsidRDefault="00303F60" w:rsidP="00303F60">
      <w:pPr>
        <w:pStyle w:val="Caption"/>
        <w:keepNext/>
      </w:pPr>
      <w:bookmarkStart w:id="9" w:name="_Ref485320205"/>
      <w:r w:rsidRPr="00865F18">
        <w:t xml:space="preserve">Table </w:t>
      </w:r>
      <w:r>
        <w:fldChar w:fldCharType="begin"/>
      </w:r>
      <w:r w:rsidRPr="00865F18">
        <w:instrText xml:space="preserve"> SEQ Table \* ARABIC </w:instrText>
      </w:r>
      <w:r>
        <w:fldChar w:fldCharType="separate"/>
      </w:r>
      <w:r w:rsidR="00AA750D">
        <w:rPr>
          <w:noProof/>
        </w:rPr>
        <w:t>4</w:t>
      </w:r>
      <w:r>
        <w:fldChar w:fldCharType="end"/>
      </w:r>
      <w:bookmarkEnd w:id="9"/>
      <w:r w:rsidRPr="00865F18">
        <w:t>: Comparison of normalized PRACH preamble sequence capacity of different PRACH preamble format</w:t>
      </w:r>
      <w:r>
        <w:t xml:space="preserve"> option</w:t>
      </w:r>
      <w:r w:rsidRPr="00865F18">
        <w:t>s.</w:t>
      </w:r>
    </w:p>
    <w:tbl>
      <w:tblPr>
        <w:tblStyle w:val="TableGrid"/>
        <w:tblW w:w="0" w:type="auto"/>
        <w:tblLook w:val="04A0" w:firstRow="1" w:lastRow="0" w:firstColumn="1" w:lastColumn="0" w:noHBand="0" w:noVBand="1"/>
      </w:tblPr>
      <w:tblGrid>
        <w:gridCol w:w="2407"/>
        <w:gridCol w:w="2407"/>
        <w:gridCol w:w="2407"/>
        <w:gridCol w:w="2408"/>
      </w:tblGrid>
      <w:tr w:rsidR="00303F60" w14:paraId="039B52D4" w14:textId="77777777" w:rsidTr="00AE5E87">
        <w:tc>
          <w:tcPr>
            <w:tcW w:w="2407" w:type="dxa"/>
          </w:tcPr>
          <w:p w14:paraId="2798FA22" w14:textId="77777777" w:rsidR="00303F60" w:rsidRDefault="00303F60" w:rsidP="00AE5E87">
            <w:pPr>
              <w:tabs>
                <w:tab w:val="left" w:pos="1030"/>
              </w:tabs>
              <w:jc w:val="both"/>
            </w:pPr>
          </w:p>
        </w:tc>
        <w:tc>
          <w:tcPr>
            <w:tcW w:w="2407" w:type="dxa"/>
          </w:tcPr>
          <w:p w14:paraId="32C0B056" w14:textId="77777777" w:rsidR="00303F60" w:rsidRDefault="00303F60" w:rsidP="00AE5E87">
            <w:pPr>
              <w:tabs>
                <w:tab w:val="left" w:pos="1030"/>
              </w:tabs>
              <w:jc w:val="both"/>
            </w:pPr>
            <w:r>
              <w:t>Preamble Format option 1 SCS = 60 KHz</w:t>
            </w:r>
          </w:p>
        </w:tc>
        <w:tc>
          <w:tcPr>
            <w:tcW w:w="2407" w:type="dxa"/>
          </w:tcPr>
          <w:p w14:paraId="25399FBF" w14:textId="77777777" w:rsidR="00303F60" w:rsidRDefault="00303F60" w:rsidP="00AE5E87">
            <w:pPr>
              <w:tabs>
                <w:tab w:val="left" w:pos="1030"/>
              </w:tabs>
              <w:jc w:val="both"/>
            </w:pPr>
            <w:r>
              <w:t>Preamble Format option 2 SCS = 120 KHz</w:t>
            </w:r>
          </w:p>
        </w:tc>
        <w:tc>
          <w:tcPr>
            <w:tcW w:w="2408" w:type="dxa"/>
          </w:tcPr>
          <w:p w14:paraId="2EB22752" w14:textId="77777777" w:rsidR="00303F60" w:rsidRDefault="00303F60" w:rsidP="00AE5E87">
            <w:pPr>
              <w:tabs>
                <w:tab w:val="left" w:pos="1030"/>
              </w:tabs>
              <w:jc w:val="both"/>
            </w:pPr>
            <w:r>
              <w:t>Preamble Format option 4 SCS = 120 KHz</w:t>
            </w:r>
          </w:p>
        </w:tc>
      </w:tr>
      <w:tr w:rsidR="00303F60" w14:paraId="58F508B5" w14:textId="77777777" w:rsidTr="00AE5E87">
        <w:tc>
          <w:tcPr>
            <w:tcW w:w="2407" w:type="dxa"/>
          </w:tcPr>
          <w:p w14:paraId="78C540EA" w14:textId="77777777" w:rsidR="00303F60" w:rsidRDefault="00303F60" w:rsidP="00AE5E87">
            <w:pPr>
              <w:tabs>
                <w:tab w:val="left" w:pos="1030"/>
              </w:tabs>
              <w:jc w:val="both"/>
            </w:pPr>
            <w:r>
              <w:t>Signature/root sequence</w:t>
            </w:r>
          </w:p>
        </w:tc>
        <w:tc>
          <w:tcPr>
            <w:tcW w:w="2407" w:type="dxa"/>
          </w:tcPr>
          <w:p w14:paraId="42585029" w14:textId="77777777" w:rsidR="00303F60" w:rsidRDefault="00303F60" w:rsidP="00AE5E87">
            <w:pPr>
              <w:tabs>
                <w:tab w:val="left" w:pos="1030"/>
              </w:tabs>
              <w:jc w:val="both"/>
            </w:pPr>
            <w:r>
              <w:t>4</w:t>
            </w:r>
          </w:p>
        </w:tc>
        <w:tc>
          <w:tcPr>
            <w:tcW w:w="2407" w:type="dxa"/>
          </w:tcPr>
          <w:p w14:paraId="5108182C" w14:textId="77777777" w:rsidR="00303F60" w:rsidRDefault="00303F60" w:rsidP="00AE5E87">
            <w:pPr>
              <w:tabs>
                <w:tab w:val="left" w:pos="1030"/>
              </w:tabs>
              <w:jc w:val="both"/>
            </w:pPr>
            <w:r>
              <w:t>2</w:t>
            </w:r>
          </w:p>
        </w:tc>
        <w:tc>
          <w:tcPr>
            <w:tcW w:w="2408" w:type="dxa"/>
          </w:tcPr>
          <w:p w14:paraId="3E9443AD" w14:textId="77777777" w:rsidR="00303F60" w:rsidRDefault="00303F60" w:rsidP="00AE5E87">
            <w:pPr>
              <w:tabs>
                <w:tab w:val="left" w:pos="1030"/>
              </w:tabs>
              <w:jc w:val="both"/>
            </w:pPr>
            <w:r>
              <w:t>2</w:t>
            </w:r>
          </w:p>
        </w:tc>
      </w:tr>
      <w:tr w:rsidR="00303F60" w14:paraId="67DC8323" w14:textId="77777777" w:rsidTr="00AE5E87">
        <w:tc>
          <w:tcPr>
            <w:tcW w:w="2407" w:type="dxa"/>
          </w:tcPr>
          <w:p w14:paraId="4B5BDED2" w14:textId="77777777" w:rsidR="00303F60" w:rsidRDefault="00303F60" w:rsidP="00AE5E87">
            <w:pPr>
              <w:tabs>
                <w:tab w:val="left" w:pos="1030"/>
              </w:tabs>
              <w:jc w:val="both"/>
            </w:pPr>
            <w:r>
              <w:t>Total Signatures Available</w:t>
            </w:r>
          </w:p>
        </w:tc>
        <w:tc>
          <w:tcPr>
            <w:tcW w:w="2407" w:type="dxa"/>
          </w:tcPr>
          <w:p w14:paraId="1E7FFAAE" w14:textId="77777777" w:rsidR="00303F60" w:rsidRDefault="00303F60" w:rsidP="00AE5E87">
            <w:pPr>
              <w:tabs>
                <w:tab w:val="left" w:pos="1030"/>
              </w:tabs>
              <w:jc w:val="both"/>
            </w:pPr>
            <w:r>
              <w:t>552</w:t>
            </w:r>
          </w:p>
        </w:tc>
        <w:tc>
          <w:tcPr>
            <w:tcW w:w="2407" w:type="dxa"/>
          </w:tcPr>
          <w:p w14:paraId="2EC09744" w14:textId="77777777" w:rsidR="00303F60" w:rsidRDefault="00303F60" w:rsidP="00AE5E87">
            <w:pPr>
              <w:tabs>
                <w:tab w:val="left" w:pos="1030"/>
              </w:tabs>
              <w:jc w:val="both"/>
            </w:pPr>
            <w:r>
              <w:t>276 x 2 (OCC) = 552</w:t>
            </w:r>
          </w:p>
        </w:tc>
        <w:tc>
          <w:tcPr>
            <w:tcW w:w="2408" w:type="dxa"/>
          </w:tcPr>
          <w:p w14:paraId="2D77CC11" w14:textId="77777777" w:rsidR="00303F60" w:rsidRDefault="00303F60" w:rsidP="00AE5E87">
            <w:pPr>
              <w:tabs>
                <w:tab w:val="left" w:pos="1030"/>
              </w:tabs>
              <w:jc w:val="both"/>
            </w:pPr>
            <w:r>
              <w:t>276 x 276</w:t>
            </w:r>
          </w:p>
        </w:tc>
      </w:tr>
      <w:tr w:rsidR="00303F60" w14:paraId="14B12E4F" w14:textId="77777777" w:rsidTr="00AE5E87">
        <w:tc>
          <w:tcPr>
            <w:tcW w:w="2407" w:type="dxa"/>
          </w:tcPr>
          <w:p w14:paraId="119FC330" w14:textId="77777777" w:rsidR="00303F60" w:rsidRDefault="00303F60" w:rsidP="00AE5E87">
            <w:pPr>
              <w:tabs>
                <w:tab w:val="left" w:pos="1030"/>
              </w:tabs>
              <w:jc w:val="both"/>
            </w:pPr>
            <w:r>
              <w:t>Sequence BW</w:t>
            </w:r>
          </w:p>
        </w:tc>
        <w:tc>
          <w:tcPr>
            <w:tcW w:w="2407" w:type="dxa"/>
          </w:tcPr>
          <w:p w14:paraId="390FCA60" w14:textId="77777777" w:rsidR="00303F60" w:rsidRDefault="00303F60" w:rsidP="00AE5E87">
            <w:pPr>
              <w:tabs>
                <w:tab w:val="left" w:pos="1030"/>
              </w:tabs>
              <w:jc w:val="both"/>
            </w:pPr>
            <w:r>
              <w:t>8.64 MHz</w:t>
            </w:r>
          </w:p>
        </w:tc>
        <w:tc>
          <w:tcPr>
            <w:tcW w:w="2407" w:type="dxa"/>
          </w:tcPr>
          <w:p w14:paraId="2DD398B9" w14:textId="77777777" w:rsidR="00303F60" w:rsidRDefault="00303F60" w:rsidP="00AE5E87">
            <w:pPr>
              <w:tabs>
                <w:tab w:val="left" w:pos="1030"/>
              </w:tabs>
              <w:jc w:val="both"/>
            </w:pPr>
            <w:r>
              <w:t>17.28 MHz</w:t>
            </w:r>
          </w:p>
        </w:tc>
        <w:tc>
          <w:tcPr>
            <w:tcW w:w="2408" w:type="dxa"/>
          </w:tcPr>
          <w:p w14:paraId="2996AE80" w14:textId="77777777" w:rsidR="00303F60" w:rsidRDefault="00303F60" w:rsidP="00AE5E87">
            <w:pPr>
              <w:tabs>
                <w:tab w:val="left" w:pos="1030"/>
              </w:tabs>
              <w:jc w:val="both"/>
            </w:pPr>
            <w:r>
              <w:t>17.28</w:t>
            </w:r>
          </w:p>
        </w:tc>
      </w:tr>
      <w:tr w:rsidR="00303F60" w14:paraId="0E29EB56" w14:textId="77777777" w:rsidTr="00AE5E87">
        <w:tc>
          <w:tcPr>
            <w:tcW w:w="2407" w:type="dxa"/>
          </w:tcPr>
          <w:p w14:paraId="6C4A3CF3" w14:textId="77777777" w:rsidR="00303F60" w:rsidRDefault="00303F60" w:rsidP="00AE5E87">
            <w:pPr>
              <w:tabs>
                <w:tab w:val="left" w:pos="1030"/>
              </w:tabs>
              <w:jc w:val="both"/>
            </w:pPr>
            <w:r>
              <w:t>Sequence Duration + CP</w:t>
            </w:r>
          </w:p>
        </w:tc>
        <w:tc>
          <w:tcPr>
            <w:tcW w:w="2407" w:type="dxa"/>
          </w:tcPr>
          <w:p w14:paraId="77113594" w14:textId="77777777" w:rsidR="00303F60" w:rsidRDefault="00303F60" w:rsidP="00AE5E87">
            <w:pPr>
              <w:tabs>
                <w:tab w:val="left" w:pos="1030"/>
              </w:tabs>
              <w:jc w:val="both"/>
            </w:pPr>
            <w:r>
              <w:t>21 usec</w:t>
            </w:r>
          </w:p>
        </w:tc>
        <w:tc>
          <w:tcPr>
            <w:tcW w:w="2407" w:type="dxa"/>
          </w:tcPr>
          <w:p w14:paraId="6A415FFB" w14:textId="77777777" w:rsidR="00303F60" w:rsidRDefault="00303F60" w:rsidP="00AE5E87">
            <w:pPr>
              <w:tabs>
                <w:tab w:val="left" w:pos="1030"/>
              </w:tabs>
              <w:jc w:val="both"/>
            </w:pPr>
            <w:r>
              <w:t>12.5 x 2 = 25 usec</w:t>
            </w:r>
          </w:p>
        </w:tc>
        <w:tc>
          <w:tcPr>
            <w:tcW w:w="2408" w:type="dxa"/>
          </w:tcPr>
          <w:p w14:paraId="690C0BB4" w14:textId="77777777" w:rsidR="00303F60" w:rsidRDefault="00303F60" w:rsidP="00AE5E87">
            <w:pPr>
              <w:tabs>
                <w:tab w:val="left" w:pos="1030"/>
              </w:tabs>
              <w:jc w:val="both"/>
            </w:pPr>
            <w:r>
              <w:t>12.5 x 2 = 25 usec</w:t>
            </w:r>
          </w:p>
        </w:tc>
      </w:tr>
      <w:tr w:rsidR="00303F60" w14:paraId="4D627748" w14:textId="77777777" w:rsidTr="00AE5E87">
        <w:tc>
          <w:tcPr>
            <w:tcW w:w="2407" w:type="dxa"/>
          </w:tcPr>
          <w:p w14:paraId="7935E7C7" w14:textId="77777777" w:rsidR="00303F60" w:rsidRPr="00865F18" w:rsidRDefault="00303F60" w:rsidP="00AE5E87">
            <w:pPr>
              <w:tabs>
                <w:tab w:val="left" w:pos="1030"/>
              </w:tabs>
              <w:jc w:val="both"/>
              <w:rPr>
                <w:bCs/>
              </w:rPr>
            </w:pPr>
            <w:r>
              <w:rPr>
                <w:szCs w:val="24"/>
              </w:rPr>
              <w:t xml:space="preserve">Normalized Sequence Capacity </w:t>
            </w:r>
            <w:r w:rsidRPr="00865F18">
              <w:rPr>
                <w:bCs/>
              </w:rPr>
              <w:t>Sequence/usec/MHz</w:t>
            </w:r>
          </w:p>
        </w:tc>
        <w:tc>
          <w:tcPr>
            <w:tcW w:w="2407" w:type="dxa"/>
          </w:tcPr>
          <w:p w14:paraId="2409BD92" w14:textId="77777777" w:rsidR="00303F60" w:rsidRPr="00CB412B" w:rsidRDefault="00303F60" w:rsidP="00AE5E87">
            <w:pPr>
              <w:tabs>
                <w:tab w:val="left" w:pos="1030"/>
              </w:tabs>
              <w:jc w:val="both"/>
              <w:rPr>
                <w:bCs/>
              </w:rPr>
            </w:pPr>
            <w:r w:rsidRPr="006B6C3F">
              <w:rPr>
                <w:bCs/>
              </w:rPr>
              <w:t>3.1</w:t>
            </w:r>
          </w:p>
        </w:tc>
        <w:tc>
          <w:tcPr>
            <w:tcW w:w="2407" w:type="dxa"/>
          </w:tcPr>
          <w:p w14:paraId="24BA62AE" w14:textId="77777777" w:rsidR="00303F60" w:rsidRDefault="00303F60" w:rsidP="00AE5E87">
            <w:pPr>
              <w:tabs>
                <w:tab w:val="left" w:pos="1030"/>
              </w:tabs>
              <w:jc w:val="both"/>
            </w:pPr>
            <w:r>
              <w:t>1.3</w:t>
            </w:r>
          </w:p>
        </w:tc>
        <w:tc>
          <w:tcPr>
            <w:tcW w:w="2408" w:type="dxa"/>
          </w:tcPr>
          <w:p w14:paraId="1D68827B" w14:textId="77777777" w:rsidR="00303F60" w:rsidRDefault="00303F60" w:rsidP="00AE5E87">
            <w:pPr>
              <w:tabs>
                <w:tab w:val="left" w:pos="1030"/>
              </w:tabs>
              <w:jc w:val="both"/>
            </w:pPr>
            <w:r>
              <w:t>178</w:t>
            </w:r>
          </w:p>
        </w:tc>
      </w:tr>
    </w:tbl>
    <w:p w14:paraId="5586F3C0" w14:textId="77777777" w:rsidR="00303F60" w:rsidRPr="000C0E5D" w:rsidRDefault="00303F60" w:rsidP="00303F60">
      <w:pPr>
        <w:tabs>
          <w:tab w:val="left" w:pos="1030"/>
        </w:tabs>
        <w:jc w:val="both"/>
      </w:pPr>
    </w:p>
    <w:p w14:paraId="3541EA7C" w14:textId="77777777" w:rsidR="00303F60" w:rsidRPr="00A5159E" w:rsidRDefault="00303F60" w:rsidP="00303F60">
      <w:pPr>
        <w:tabs>
          <w:tab w:val="left" w:pos="1030"/>
        </w:tabs>
        <w:jc w:val="both"/>
      </w:pPr>
      <w:r w:rsidRPr="00A5159E">
        <w:t xml:space="preserve">According to </w:t>
      </w:r>
      <w:r w:rsidRPr="00A5159E">
        <w:fldChar w:fldCharType="begin"/>
      </w:r>
      <w:r w:rsidRPr="00A5159E">
        <w:instrText xml:space="preserve"> REF _Ref485320205 \h  \* MERGEFORMAT </w:instrText>
      </w:r>
      <w:r w:rsidRPr="00A5159E">
        <w:fldChar w:fldCharType="separate"/>
      </w:r>
      <w:r w:rsidRPr="00A5159E">
        <w:t xml:space="preserve">Table </w:t>
      </w:r>
      <w:r w:rsidRPr="00A5159E">
        <w:rPr>
          <w:noProof/>
        </w:rPr>
        <w:t>2</w:t>
      </w:r>
      <w:r w:rsidRPr="00A5159E">
        <w:fldChar w:fldCharType="end"/>
      </w:r>
      <w:r w:rsidRPr="00A5159E">
        <w:t xml:space="preserve">, PRACH preamble format </w:t>
      </w:r>
      <w:r>
        <w:t xml:space="preserve">option </w:t>
      </w:r>
      <w:r w:rsidRPr="00A5159E">
        <w:t>4 has the highest normalized PRACH preamble sequence capacity, when compared to other preamble formats of about the same</w:t>
      </w:r>
      <w:r>
        <w:t xml:space="preserve"> duration</w:t>
      </w:r>
      <w:r w:rsidRPr="00A5159E">
        <w:t xml:space="preserve">. Furthermore, PRACH preamble format </w:t>
      </w:r>
      <w:r>
        <w:t xml:space="preserve">option </w:t>
      </w:r>
      <w:r w:rsidRPr="00A5159E">
        <w:t xml:space="preserve">4 </w:t>
      </w:r>
      <w:r w:rsidRPr="00A5159E">
        <w:lastRenderedPageBreak/>
        <w:t xml:space="preserve">has a higher normalized PRACH preamble sequence capacity than that of the long sequence. PRACH preamble format </w:t>
      </w:r>
      <w:r>
        <w:t xml:space="preserve">option </w:t>
      </w:r>
      <w:r w:rsidRPr="00A5159E">
        <w:t xml:space="preserve">2 with OCC has less normalized sequence capacity than that of PRACH preamble format </w:t>
      </w:r>
      <w:r>
        <w:t xml:space="preserve">option </w:t>
      </w:r>
      <w:r w:rsidRPr="00A5159E">
        <w:t xml:space="preserve">1 of the same </w:t>
      </w:r>
      <w:r>
        <w:t>time duration</w:t>
      </w:r>
      <w:r w:rsidRPr="00A5159E">
        <w:t>.</w:t>
      </w:r>
      <w:r>
        <w:t xml:space="preserve"> It should be noted, that both PRACH preamble format option 2 with OCC and PRACH preamble format option 1 with sinusoidal cover, provide a linear increase PRACH sequence capacity, hence they have about the same normalized PRACH preamble sequence capacity. </w:t>
      </w:r>
    </w:p>
    <w:p w14:paraId="3CCD79CE" w14:textId="77777777" w:rsidR="00303F60" w:rsidRDefault="00303F60" w:rsidP="00303F60">
      <w:pPr>
        <w:tabs>
          <w:tab w:val="left" w:pos="1030"/>
        </w:tabs>
        <w:jc w:val="both"/>
        <w:rPr>
          <w:b/>
          <w:bCs/>
          <w:i/>
          <w:iCs/>
        </w:rPr>
      </w:pPr>
      <w:r w:rsidRPr="00A5159E">
        <w:rPr>
          <w:b/>
          <w:bCs/>
          <w:i/>
          <w:iCs/>
        </w:rPr>
        <w:t xml:space="preserve">Observation </w:t>
      </w:r>
      <w:r w:rsidRPr="006408B1">
        <w:rPr>
          <w:b/>
          <w:bCs/>
          <w:i/>
          <w:iCs/>
        </w:rPr>
        <w:t>7</w:t>
      </w:r>
      <w:r w:rsidRPr="00A5159E">
        <w:rPr>
          <w:b/>
          <w:bCs/>
          <w:i/>
          <w:iCs/>
        </w:rPr>
        <w:t xml:space="preserve">: PRACH preamble format </w:t>
      </w:r>
      <w:r>
        <w:rPr>
          <w:b/>
          <w:bCs/>
          <w:i/>
          <w:iCs/>
        </w:rPr>
        <w:t xml:space="preserve">option </w:t>
      </w:r>
      <w:r w:rsidRPr="00A5159E">
        <w:rPr>
          <w:b/>
          <w:bCs/>
          <w:i/>
          <w:iCs/>
        </w:rPr>
        <w:t xml:space="preserve">4 </w:t>
      </w:r>
      <w:r>
        <w:rPr>
          <w:b/>
          <w:bCs/>
          <w:i/>
          <w:iCs/>
        </w:rPr>
        <w:t>has a higher PRACH sequence capacity than PRACH preamble format option 1 with sinusoidal cover and PRACH preamble format option 2 with OCC</w:t>
      </w:r>
      <w:r w:rsidRPr="00A5159E">
        <w:rPr>
          <w:b/>
          <w:bCs/>
          <w:i/>
          <w:iCs/>
        </w:rPr>
        <w:t>.</w:t>
      </w:r>
    </w:p>
    <w:p w14:paraId="31C696C0" w14:textId="77777777" w:rsidR="00303F60" w:rsidRDefault="00303F60" w:rsidP="00303F60">
      <w:pPr>
        <w:tabs>
          <w:tab w:val="left" w:pos="1030"/>
        </w:tabs>
        <w:jc w:val="both"/>
      </w:pPr>
      <w:r>
        <w:t>Direct usage of PRACH preamble format option 4 has some drawbacks:</w:t>
      </w:r>
    </w:p>
    <w:p w14:paraId="2A91FF18" w14:textId="77777777" w:rsidR="00303F60" w:rsidRDefault="00303F60" w:rsidP="00303F60">
      <w:pPr>
        <w:pStyle w:val="ListParagraph"/>
        <w:numPr>
          <w:ilvl w:val="0"/>
          <w:numId w:val="40"/>
        </w:numPr>
        <w:tabs>
          <w:tab w:val="left" w:pos="1030"/>
        </w:tabs>
        <w:spacing w:line="259" w:lineRule="auto"/>
        <w:jc w:val="both"/>
        <w:rPr>
          <w:sz w:val="20"/>
          <w:lang w:val="en-GB"/>
        </w:rPr>
      </w:pPr>
      <w:r>
        <w:rPr>
          <w:sz w:val="20"/>
          <w:lang w:val="en-GB"/>
        </w:rPr>
        <w:t xml:space="preserve">The ambiguity problem. This is described as follows: </w:t>
      </w:r>
      <w:r w:rsidRPr="00C46151">
        <w:rPr>
          <w:sz w:val="20"/>
          <w:lang w:val="en-GB"/>
        </w:rPr>
        <w:t xml:space="preserve">Assume two </w:t>
      </w:r>
      <w:r>
        <w:rPr>
          <w:sz w:val="20"/>
          <w:lang w:val="en-GB"/>
        </w:rPr>
        <w:t>UEs</w:t>
      </w:r>
      <w:r w:rsidRPr="00C46151">
        <w:rPr>
          <w:sz w:val="20"/>
          <w:lang w:val="en-GB"/>
        </w:rPr>
        <w:t xml:space="preserve"> attempt to send PRACH preamble format option 4 in the same RACH occasion. Pre</w:t>
      </w:r>
      <w:r>
        <w:rPr>
          <w:sz w:val="20"/>
          <w:lang w:val="en-GB"/>
        </w:rPr>
        <w:t xml:space="preserve">amble format option 4, with </w:t>
      </w:r>
      <m:oMath>
        <m:sSub>
          <m:sSubPr>
            <m:ctrlPr>
              <w:rPr>
                <w:rFonts w:ascii="Cambria Math" w:hAnsi="Cambria Math"/>
                <w:i/>
                <w:sz w:val="20"/>
                <w:lang w:val="en-GB"/>
              </w:rPr>
            </m:ctrlPr>
          </m:sSubPr>
          <m:e>
            <m:r>
              <w:rPr>
                <w:rFonts w:ascii="Cambria Math" w:hAnsi="Cambria Math"/>
                <w:sz w:val="20"/>
                <w:lang w:val="en-GB"/>
              </w:rPr>
              <m:t>N</m:t>
            </m:r>
          </m:e>
          <m:sub>
            <m:r>
              <w:rPr>
                <w:rFonts w:ascii="Cambria Math" w:hAnsi="Cambria Math"/>
                <w:sz w:val="20"/>
                <w:lang w:val="en-GB"/>
              </w:rPr>
              <m:t>RP</m:t>
            </m:r>
          </m:sub>
        </m:sSub>
        <m:r>
          <w:rPr>
            <w:rFonts w:ascii="Cambria Math" w:hAnsi="Cambria Math"/>
            <w:sz w:val="20"/>
            <w:lang w:val="en-GB"/>
          </w:rPr>
          <m:t>=2</m:t>
        </m:r>
      </m:oMath>
      <w:r w:rsidRPr="00C46151">
        <w:rPr>
          <w:sz w:val="20"/>
          <w:lang w:val="en-GB"/>
        </w:rPr>
        <w:t xml:space="preserve">, consists of 2 preambles with different sequences. Now, assume that the first </w:t>
      </w:r>
      <w:r>
        <w:rPr>
          <w:sz w:val="20"/>
          <w:lang w:val="en-GB"/>
        </w:rPr>
        <w:t>UE sends sequences A B to the</w:t>
      </w:r>
      <w:r w:rsidRPr="00C46151">
        <w:rPr>
          <w:sz w:val="20"/>
          <w:lang w:val="en-GB"/>
        </w:rPr>
        <w:t xml:space="preserve"> base station, and the second </w:t>
      </w:r>
      <w:r>
        <w:rPr>
          <w:sz w:val="20"/>
          <w:lang w:val="en-GB"/>
        </w:rPr>
        <w:t>UE</w:t>
      </w:r>
      <w:r w:rsidRPr="00C46151">
        <w:rPr>
          <w:sz w:val="20"/>
          <w:lang w:val="en-GB"/>
        </w:rPr>
        <w:t xml:space="preserve"> sends sequences C D to the base station, in which case the base station would detect sequences A and C in the first preamble and B and D in the second preamble. However, the base station cannot associate sequence A with sequence B, or sequence C with sequence D. In this situation, the base station could assume either sequence A D and sequence C B were transmitted, or sequence A B and sequence C D were transmitted, thus resulting in the ambiguity problem.</w:t>
      </w:r>
    </w:p>
    <w:p w14:paraId="3DF4102A" w14:textId="77777777" w:rsidR="00303F60" w:rsidRDefault="00303F60" w:rsidP="00303F60">
      <w:pPr>
        <w:pStyle w:val="ListParagraph"/>
        <w:numPr>
          <w:ilvl w:val="0"/>
          <w:numId w:val="40"/>
        </w:numPr>
        <w:tabs>
          <w:tab w:val="left" w:pos="1030"/>
        </w:tabs>
        <w:spacing w:line="259" w:lineRule="auto"/>
        <w:jc w:val="both"/>
        <w:rPr>
          <w:sz w:val="20"/>
          <w:lang w:val="en-GB"/>
        </w:rPr>
      </w:pPr>
      <w:r>
        <w:rPr>
          <w:sz w:val="20"/>
          <w:lang w:val="en-GB"/>
        </w:rPr>
        <w:t xml:space="preserve">Lower probability of detection, as each preamble is detected independently. </w:t>
      </w:r>
    </w:p>
    <w:p w14:paraId="571CE9EE" w14:textId="77777777" w:rsidR="00303F60" w:rsidRDefault="00303F60" w:rsidP="00303F60">
      <w:pPr>
        <w:tabs>
          <w:tab w:val="left" w:pos="1030"/>
        </w:tabs>
        <w:jc w:val="both"/>
      </w:pPr>
    </w:p>
    <w:p w14:paraId="0B474507" w14:textId="77777777" w:rsidR="00303F60" w:rsidRPr="00A5159E" w:rsidRDefault="00303F60" w:rsidP="00303F60">
      <w:pPr>
        <w:tabs>
          <w:tab w:val="left" w:pos="1030"/>
        </w:tabs>
        <w:jc w:val="both"/>
        <w:rPr>
          <w:b/>
          <w:bCs/>
          <w:i/>
          <w:iCs/>
        </w:rPr>
      </w:pPr>
      <w:r w:rsidRPr="00A5159E">
        <w:rPr>
          <w:b/>
          <w:bCs/>
          <w:i/>
          <w:iCs/>
        </w:rPr>
        <w:t xml:space="preserve">Observation </w:t>
      </w:r>
      <w:r w:rsidRPr="006408B1">
        <w:rPr>
          <w:b/>
          <w:bCs/>
          <w:i/>
          <w:iCs/>
        </w:rPr>
        <w:t>8</w:t>
      </w:r>
      <w:r w:rsidRPr="00A5159E">
        <w:rPr>
          <w:b/>
          <w:bCs/>
          <w:i/>
          <w:iCs/>
        </w:rPr>
        <w:t xml:space="preserve">: PRACH preamble format </w:t>
      </w:r>
      <w:r>
        <w:rPr>
          <w:b/>
          <w:bCs/>
          <w:i/>
          <w:iCs/>
        </w:rPr>
        <w:t xml:space="preserve">option </w:t>
      </w:r>
      <w:r w:rsidRPr="00A5159E">
        <w:rPr>
          <w:b/>
          <w:bCs/>
          <w:i/>
          <w:iCs/>
        </w:rPr>
        <w:t xml:space="preserve">4 suffers from PRACH detection ambiguity if more than one UE attempts send PRACH in the same RACH occasions, and it suffers from lower </w:t>
      </w:r>
      <w:r w:rsidRPr="00D05DA4">
        <w:rPr>
          <w:b/>
          <w:bCs/>
          <w:i/>
          <w:iCs/>
        </w:rPr>
        <w:t>probability</w:t>
      </w:r>
      <w:r w:rsidRPr="00A5159E">
        <w:rPr>
          <w:b/>
          <w:bCs/>
          <w:i/>
          <w:iCs/>
        </w:rPr>
        <w:t xml:space="preserve"> of detection.</w:t>
      </w:r>
    </w:p>
    <w:p w14:paraId="482FD0CB" w14:textId="77777777" w:rsidR="00303F60" w:rsidRPr="008357CE" w:rsidRDefault="00303F60" w:rsidP="00303F60">
      <w:pPr>
        <w:tabs>
          <w:tab w:val="left" w:pos="1030"/>
        </w:tabs>
        <w:jc w:val="both"/>
      </w:pPr>
      <w:r>
        <w:t xml:space="preserve">To address these issues with PRACH preamble format option 4, a fixed </w:t>
      </w:r>
      <w:r w:rsidRPr="008357CE">
        <w:t xml:space="preserve">relationship between the sequence indices of the RACH preambles of RACH preamble format option 4 is defined. This </w:t>
      </w:r>
      <w:r>
        <w:t>relationship</w:t>
      </w:r>
      <w:r w:rsidRPr="008357CE">
        <w:t xml:space="preserve"> </w:t>
      </w:r>
      <w:r>
        <w:t>is</w:t>
      </w:r>
      <w:r w:rsidRPr="008357CE">
        <w:t xml:space="preserve"> cell specific. The offset between the sequence indices of the preambles of RACH preamble format option 4 </w:t>
      </w:r>
      <w:r>
        <w:t>is</w:t>
      </w:r>
      <w:r w:rsidRPr="008357CE">
        <w:t xml:space="preserve"> determined based on cell ID.</w:t>
      </w:r>
      <w:r>
        <w:t xml:space="preserve"> For example, </w:t>
      </w:r>
      <w:r w:rsidRPr="008357CE">
        <w:t xml:space="preserve">let </w:t>
      </w:r>
      <m:oMath>
        <m:sSub>
          <m:sSubPr>
            <m:ctrlPr>
              <w:rPr>
                <w:rFonts w:ascii="Cambria Math" w:hAnsi="Cambria Math"/>
              </w:rPr>
            </m:ctrlPr>
          </m:sSubPr>
          <m:e>
            <m:r>
              <m:rPr>
                <m:sty m:val="p"/>
              </m:rPr>
              <w:rPr>
                <w:rFonts w:ascii="Cambria Math" w:hAnsi="Cambria Math"/>
              </w:rPr>
              <m:t>A</m:t>
            </m:r>
          </m:e>
          <m:sub>
            <m:r>
              <m:rPr>
                <m:sty m:val="p"/>
              </m:rPr>
              <w:rPr>
                <w:rFonts w:ascii="Cambria Math" w:hAnsi="Cambria Math"/>
              </w:rPr>
              <m:t>0</m:t>
            </m:r>
          </m:sub>
        </m:sSub>
      </m:oMath>
      <w:r w:rsidRPr="008357CE">
        <w:t xml:space="preserve"> be a preamble sequence index of </w:t>
      </w:r>
      <w:r>
        <w:t>the</w:t>
      </w:r>
      <w:r w:rsidRPr="008357CE">
        <w:t xml:space="preserve"> first preamble, let  </w:t>
      </w:r>
      <m:oMath>
        <m:sSub>
          <m:sSubPr>
            <m:ctrlPr>
              <w:rPr>
                <w:rFonts w:ascii="Cambria Math" w:hAnsi="Cambria Math"/>
              </w:rPr>
            </m:ctrlPr>
          </m:sSubPr>
          <m:e>
            <m:r>
              <m:rPr>
                <m:sty m:val="p"/>
              </m:rPr>
              <w:rPr>
                <w:rFonts w:ascii="Cambria Math" w:hAnsi="Cambria Math"/>
              </w:rPr>
              <m:t>A</m:t>
            </m:r>
          </m:e>
          <m:sub>
            <m:r>
              <m:rPr>
                <m:sty m:val="p"/>
              </m:rPr>
              <w:rPr>
                <w:rFonts w:ascii="Cambria Math" w:hAnsi="Cambria Math"/>
              </w:rPr>
              <m:t>1</m:t>
            </m:r>
          </m:sub>
        </m:sSub>
      </m:oMath>
      <w:r w:rsidRPr="008357CE">
        <w:t xml:space="preserve"> be a preamble sequence index of </w:t>
      </w:r>
      <w:r>
        <w:t>the</w:t>
      </w:r>
      <w:r w:rsidRPr="008357CE">
        <w:t xml:space="preserve"> next preamble, and let  </w:t>
      </w:r>
      <m:oMath>
        <m:sSub>
          <m:sSubPr>
            <m:ctrlPr>
              <w:rPr>
                <w:rFonts w:ascii="Cambria Math" w:hAnsi="Cambria Math"/>
              </w:rPr>
            </m:ctrlPr>
          </m:sSubPr>
          <m:e>
            <m:r>
              <m:rPr>
                <m:sty m:val="p"/>
              </m:rPr>
              <w:rPr>
                <w:rFonts w:ascii="Cambria Math" w:hAnsi="Cambria Math"/>
              </w:rPr>
              <m:t>A</m:t>
            </m:r>
          </m:e>
          <m:sub>
            <m:sSub>
              <m:sSubPr>
                <m:ctrlPr>
                  <w:rPr>
                    <w:rFonts w:ascii="Cambria Math" w:hAnsi="Cambria Math"/>
                  </w:rPr>
                </m:ctrlPr>
              </m:sSubPr>
              <m:e>
                <m:r>
                  <m:rPr>
                    <m:sty m:val="p"/>
                  </m:rPr>
                  <w:rPr>
                    <w:rFonts w:ascii="Cambria Math" w:hAnsi="Cambria Math"/>
                  </w:rPr>
                  <m:t>N</m:t>
                </m:r>
              </m:e>
              <m:sub>
                <m:r>
                  <m:rPr>
                    <m:sty m:val="p"/>
                  </m:rPr>
                  <w:rPr>
                    <w:rFonts w:ascii="Cambria Math" w:hAnsi="Cambria Math"/>
                  </w:rPr>
                  <m:t>RP</m:t>
                </m:r>
              </m:sub>
            </m:sSub>
            <m:r>
              <m:rPr>
                <m:sty m:val="p"/>
              </m:rPr>
              <w:rPr>
                <w:rFonts w:ascii="Cambria Math" w:hAnsi="Cambria Math"/>
              </w:rPr>
              <m:t>-1</m:t>
            </m:r>
          </m:sub>
        </m:sSub>
      </m:oMath>
      <w:r w:rsidRPr="008357CE">
        <w:t xml:space="preserve"> be the preamble sequence index of the last preamble. For each cell, there is a fixed offset between the preamble sequence index of the first preamble and that of the subsequent preambles, which may be expressed as:</w:t>
      </w:r>
    </w:p>
    <w:p w14:paraId="6D69DEE0" w14:textId="77777777" w:rsidR="00303F60" w:rsidRPr="008357CE" w:rsidRDefault="008A350A" w:rsidP="00303F60">
      <w:pPr>
        <w:tabs>
          <w:tab w:val="left" w:pos="1030"/>
        </w:tabs>
        <w:jc w:val="both"/>
      </w:pPr>
      <m:oMathPara>
        <m:oMath>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1</m:t>
              </m:r>
            </m:sub>
          </m:sSub>
          <m:d>
            <m:dPr>
              <m:ctrlPr>
                <w:rPr>
                  <w:rFonts w:ascii="Cambria Math" w:hAnsi="Cambria Math"/>
                  <w:i/>
                </w:rPr>
              </m:ctrlPr>
            </m:dPr>
            <m:e>
              <m:r>
                <w:rPr>
                  <w:rFonts w:ascii="Cambria Math" w:hAnsi="Cambria Math"/>
                </w:rPr>
                <m:t>cellID</m:t>
              </m:r>
            </m:e>
          </m:d>
          <m:r>
            <w:rPr>
              <w:rFonts w:ascii="Cambria Math" w:hAnsi="Cambria Math"/>
            </w:rPr>
            <m:t xml:space="preserve">mod </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ZC</m:t>
                  </m:r>
                </m:sub>
              </m:sSub>
              <m:r>
                <w:rPr>
                  <w:rFonts w:ascii="Cambria Math" w:eastAsiaTheme="minorEastAsia" w:hAnsi="Cambria Math"/>
                </w:rPr>
                <m:t>-1</m:t>
              </m:r>
            </m:e>
          </m:d>
        </m:oMath>
      </m:oMathPara>
    </w:p>
    <w:p w14:paraId="11981D21" w14:textId="77777777" w:rsidR="00303F60" w:rsidRPr="008357CE" w:rsidRDefault="008A350A" w:rsidP="00303F60">
      <w:pPr>
        <w:tabs>
          <w:tab w:val="left" w:pos="1030"/>
        </w:tabs>
        <w:jc w:val="both"/>
      </w:pPr>
      <m:oMathPara>
        <m:oMathParaPr>
          <m:jc m:val="center"/>
        </m:oMathParaPr>
        <m:oMath>
          <m:sSub>
            <m:sSubPr>
              <m:ctrlPr>
                <w:rPr>
                  <w:rFonts w:ascii="Cambria Math" w:hAnsi="Cambria Math"/>
                  <w:i/>
                </w:rPr>
              </m:ctrlPr>
            </m:sSubPr>
            <m:e>
              <m:r>
                <w:rPr>
                  <w:rFonts w:ascii="Cambria Math" w:hAnsi="Cambria Math"/>
                </w:rPr>
                <m:t>A</m:t>
              </m:r>
            </m:e>
            <m:sub>
              <m:r>
                <w:rPr>
                  <w:rFonts w:ascii="Cambria Math" w:hAnsi="Cambria Math"/>
                </w:rPr>
                <m:t>2</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2</m:t>
              </m:r>
            </m:sub>
          </m:sSub>
          <m:d>
            <m:dPr>
              <m:ctrlPr>
                <w:rPr>
                  <w:rFonts w:ascii="Cambria Math" w:hAnsi="Cambria Math"/>
                  <w:i/>
                </w:rPr>
              </m:ctrlPr>
            </m:dPr>
            <m:e>
              <m:r>
                <w:rPr>
                  <w:rFonts w:ascii="Cambria Math" w:hAnsi="Cambria Math"/>
                </w:rPr>
                <m:t>cellID</m:t>
              </m:r>
            </m:e>
          </m:d>
          <m:r>
            <w:rPr>
              <w:rFonts w:ascii="Cambria Math" w:hAnsi="Cambria Math"/>
            </w:rPr>
            <m:t xml:space="preserve">mod </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ZC</m:t>
                  </m:r>
                </m:sub>
              </m:sSub>
              <m:r>
                <w:rPr>
                  <w:rFonts w:ascii="Cambria Math" w:eastAsiaTheme="minorEastAsia" w:hAnsi="Cambria Math"/>
                </w:rPr>
                <m:t>-1</m:t>
              </m:r>
            </m:e>
          </m:d>
        </m:oMath>
      </m:oMathPara>
    </w:p>
    <w:p w14:paraId="13A2483E" w14:textId="77777777" w:rsidR="00303F60" w:rsidRPr="008357CE" w:rsidRDefault="00303F60" w:rsidP="00303F60">
      <w:pPr>
        <w:tabs>
          <w:tab w:val="left" w:pos="1030"/>
        </w:tabs>
        <w:jc w:val="center"/>
      </w:pPr>
      <w:r w:rsidRPr="008357CE">
        <w:t>….</w:t>
      </w:r>
    </w:p>
    <w:p w14:paraId="53BA306A" w14:textId="77777777" w:rsidR="00303F60" w:rsidRPr="008357CE" w:rsidRDefault="008A350A" w:rsidP="00303F60">
      <w:pPr>
        <w:tabs>
          <w:tab w:val="left" w:pos="1030"/>
        </w:tabs>
        <w:jc w:val="center"/>
      </w:pPr>
      <m:oMath>
        <m:sSub>
          <m:sSubPr>
            <m:ctrlPr>
              <w:rPr>
                <w:rFonts w:ascii="Cambria Math" w:hAnsi="Cambria Math"/>
                <w:i/>
              </w:rPr>
            </m:ctrlPr>
          </m:sSubPr>
          <m:e>
            <m:r>
              <w:rPr>
                <w:rFonts w:ascii="Cambria Math" w:hAnsi="Cambria Math"/>
              </w:rPr>
              <m:t>A</m:t>
            </m:r>
          </m:e>
          <m:sub>
            <m:sSub>
              <m:sSubPr>
                <m:ctrlPr>
                  <w:rPr>
                    <w:rFonts w:ascii="Cambria Math" w:hAnsi="Cambria Math"/>
                    <w:i/>
                  </w:rPr>
                </m:ctrlPr>
              </m:sSubPr>
              <m:e>
                <m:r>
                  <w:rPr>
                    <w:rFonts w:ascii="Cambria Math" w:hAnsi="Cambria Math"/>
                  </w:rPr>
                  <m:t>N</m:t>
                </m:r>
              </m:e>
              <m:sub>
                <m:r>
                  <w:rPr>
                    <w:rFonts w:ascii="Cambria Math" w:hAnsi="Cambria Math"/>
                  </w:rPr>
                  <m:t>RP</m:t>
                </m:r>
              </m:sub>
            </m:s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f</m:t>
            </m:r>
          </m:e>
          <m:sub>
            <m:sSub>
              <m:sSubPr>
                <m:ctrlPr>
                  <w:rPr>
                    <w:rFonts w:ascii="Cambria Math" w:hAnsi="Cambria Math"/>
                    <w:i/>
                  </w:rPr>
                </m:ctrlPr>
              </m:sSubPr>
              <m:e>
                <m:r>
                  <w:rPr>
                    <w:rFonts w:ascii="Cambria Math" w:hAnsi="Cambria Math"/>
                  </w:rPr>
                  <m:t>N</m:t>
                </m:r>
              </m:e>
              <m:sub>
                <m:r>
                  <w:rPr>
                    <w:rFonts w:ascii="Cambria Math" w:hAnsi="Cambria Math"/>
                  </w:rPr>
                  <m:t>RP</m:t>
                </m:r>
              </m:sub>
            </m:sSub>
            <m:r>
              <w:rPr>
                <w:rFonts w:ascii="Cambria Math" w:hAnsi="Cambria Math"/>
              </w:rPr>
              <m:t>-1</m:t>
            </m:r>
          </m:sub>
        </m:sSub>
        <m:d>
          <m:dPr>
            <m:ctrlPr>
              <w:rPr>
                <w:rFonts w:ascii="Cambria Math" w:hAnsi="Cambria Math"/>
                <w:i/>
              </w:rPr>
            </m:ctrlPr>
          </m:dPr>
          <m:e>
            <m:r>
              <w:rPr>
                <w:rFonts w:ascii="Cambria Math" w:hAnsi="Cambria Math"/>
              </w:rPr>
              <m:t>cellID</m:t>
            </m:r>
          </m:e>
        </m:d>
        <m:r>
          <w:rPr>
            <w:rFonts w:ascii="Cambria Math" w:hAnsi="Cambria Math"/>
          </w:rPr>
          <m:t xml:space="preserve">mod </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ZC</m:t>
                </m:r>
              </m:sub>
            </m:sSub>
            <m:r>
              <w:rPr>
                <w:rFonts w:ascii="Cambria Math" w:eastAsiaTheme="minorEastAsia" w:hAnsi="Cambria Math"/>
              </w:rPr>
              <m:t>-1</m:t>
            </m:r>
          </m:e>
        </m:d>
      </m:oMath>
      <w:r w:rsidR="00303F60" w:rsidRPr="008357CE">
        <w:t>,</w:t>
      </w:r>
    </w:p>
    <w:p w14:paraId="28E02DB3" w14:textId="77777777" w:rsidR="00303F60" w:rsidRPr="008357CE" w:rsidRDefault="00303F60" w:rsidP="00303F60">
      <w:pPr>
        <w:tabs>
          <w:tab w:val="left" w:pos="1030"/>
        </w:tabs>
        <w:jc w:val="both"/>
      </w:pPr>
      <w:r w:rsidRPr="008357CE">
        <w:t xml:space="preserve">where, </w:t>
      </w:r>
      <m:oMath>
        <m:sSub>
          <m:sSubPr>
            <m:ctrlPr>
              <w:rPr>
                <w:rFonts w:ascii="Cambria Math" w:hAnsi="Cambria Math"/>
                <w:i/>
              </w:rPr>
            </m:ctrlPr>
          </m:sSubPr>
          <m:e>
            <m:r>
              <w:rPr>
                <w:rFonts w:ascii="Cambria Math" w:hAnsi="Cambria Math"/>
              </w:rPr>
              <m:t>N</m:t>
            </m:r>
          </m:e>
          <m:sub>
            <m:r>
              <w:rPr>
                <w:rFonts w:ascii="Cambria Math" w:hAnsi="Cambria Math"/>
              </w:rPr>
              <m:t>max</m:t>
            </m:r>
          </m:sub>
        </m:sSub>
      </m:oMath>
      <w:r w:rsidRPr="008357CE">
        <w:t xml:space="preserve"> is the maximum number of RACH preamble sequences. The functions </w:t>
      </w:r>
      <m:oMath>
        <m:sSub>
          <m:sSubPr>
            <m:ctrlPr>
              <w:rPr>
                <w:rFonts w:ascii="Cambria Math" w:hAnsi="Cambria Math"/>
                <w:i/>
              </w:rPr>
            </m:ctrlPr>
          </m:sSubPr>
          <m:e>
            <m:r>
              <w:rPr>
                <w:rFonts w:ascii="Cambria Math" w:hAnsi="Cambria Math"/>
              </w:rPr>
              <m:t>f</m:t>
            </m:r>
          </m:e>
          <m:sub>
            <m:r>
              <w:rPr>
                <w:rFonts w:ascii="Cambria Math" w:hAnsi="Cambria Math"/>
              </w:rPr>
              <m:t>1</m:t>
            </m:r>
          </m:sub>
        </m:sSub>
        <m:r>
          <w:rPr>
            <w:rFonts w:ascii="Cambria Math" w:hAnsi="Cambria Math"/>
          </w:rPr>
          <m:t>(cellID)</m:t>
        </m:r>
      </m:oMath>
      <w:r w:rsidRPr="008357CE">
        <w:t xml:space="preserve"> …. </w:t>
      </w:r>
      <m:oMath>
        <m:sSub>
          <m:sSubPr>
            <m:ctrlPr>
              <w:rPr>
                <w:rFonts w:ascii="Cambria Math" w:hAnsi="Cambria Math"/>
                <w:i/>
              </w:rPr>
            </m:ctrlPr>
          </m:sSubPr>
          <m:e>
            <m:r>
              <w:rPr>
                <w:rFonts w:ascii="Cambria Math" w:hAnsi="Cambria Math"/>
              </w:rPr>
              <m:t>f</m:t>
            </m:r>
          </m:e>
          <m:sub>
            <m:sSub>
              <m:sSubPr>
                <m:ctrlPr>
                  <w:rPr>
                    <w:rFonts w:ascii="Cambria Math" w:hAnsi="Cambria Math"/>
                    <w:i/>
                  </w:rPr>
                </m:ctrlPr>
              </m:sSubPr>
              <m:e>
                <m:r>
                  <w:rPr>
                    <w:rFonts w:ascii="Cambria Math" w:hAnsi="Cambria Math"/>
                  </w:rPr>
                  <m:t>N</m:t>
                </m:r>
              </m:e>
              <m:sub>
                <m:r>
                  <w:rPr>
                    <w:rFonts w:ascii="Cambria Math" w:hAnsi="Cambria Math"/>
                  </w:rPr>
                  <m:t>RP</m:t>
                </m:r>
              </m:sub>
            </m:sSub>
            <m:r>
              <w:rPr>
                <w:rFonts w:ascii="Cambria Math" w:hAnsi="Cambria Math"/>
              </w:rPr>
              <m:t>-1</m:t>
            </m:r>
          </m:sub>
        </m:sSub>
        <m:d>
          <m:dPr>
            <m:ctrlPr>
              <w:rPr>
                <w:rFonts w:ascii="Cambria Math" w:hAnsi="Cambria Math"/>
                <w:i/>
              </w:rPr>
            </m:ctrlPr>
          </m:dPr>
          <m:e>
            <m:r>
              <w:rPr>
                <w:rFonts w:ascii="Cambria Math" w:hAnsi="Cambria Math"/>
              </w:rPr>
              <m:t>cellID</m:t>
            </m:r>
          </m:e>
        </m:d>
      </m:oMath>
      <w:r w:rsidRPr="008357CE">
        <w:t xml:space="preserve"> </w:t>
      </w:r>
      <w:r>
        <w:t>are</w:t>
      </w:r>
      <w:r w:rsidRPr="008357CE">
        <w:t xml:space="preserve"> selected in such a way to increase the seperability between users of adjacent cells. For example, if one of the preambles of users in two adjacent cells is the same, the functions could be selected such that the remaining </w:t>
      </w:r>
      <m:oMath>
        <m:sSub>
          <m:sSubPr>
            <m:ctrlPr>
              <w:rPr>
                <w:rFonts w:ascii="Cambria Math" w:hAnsi="Cambria Math"/>
                <w:i/>
              </w:rPr>
            </m:ctrlPr>
          </m:sSubPr>
          <m:e>
            <m:r>
              <w:rPr>
                <w:rFonts w:ascii="Cambria Math" w:hAnsi="Cambria Math"/>
              </w:rPr>
              <m:t>N</m:t>
            </m:r>
          </m:e>
          <m:sub>
            <m:r>
              <w:rPr>
                <w:rFonts w:ascii="Cambria Math" w:hAnsi="Cambria Math"/>
              </w:rPr>
              <m:t>RP</m:t>
            </m:r>
          </m:sub>
        </m:sSub>
        <m:r>
          <w:rPr>
            <w:rFonts w:ascii="Cambria Math" w:hAnsi="Cambria Math"/>
          </w:rPr>
          <m:t>-1</m:t>
        </m:r>
      </m:oMath>
      <w:r w:rsidRPr="008357CE">
        <w:t xml:space="preserve"> preambles are different.</w:t>
      </w:r>
    </w:p>
    <w:p w14:paraId="3B45E1AD" w14:textId="77777777" w:rsidR="00303F60" w:rsidRDefault="00303F60" w:rsidP="00303F60">
      <w:pPr>
        <w:tabs>
          <w:tab w:val="left" w:pos="1030"/>
        </w:tabs>
        <w:jc w:val="both"/>
      </w:pPr>
      <w:r>
        <w:t>By having a fixed relation between the preamble sequence of PRACH preamble format option 4, it is possible to combine preambles of preamble format option 4 coherently or non-coherently. This increases the probability of detection. Furthermore, by having each cell detect a certain preamble sequence pattern, that depends on the cell ID, the ambiguity problem is avoided as described in the following:</w:t>
      </w:r>
    </w:p>
    <w:p w14:paraId="02EF85CA" w14:textId="77777777" w:rsidR="00303F60" w:rsidRPr="009862F1" w:rsidRDefault="00303F60" w:rsidP="00303F60">
      <w:pPr>
        <w:tabs>
          <w:tab w:val="left" w:pos="1030"/>
        </w:tabs>
        <w:jc w:val="both"/>
      </w:pPr>
      <w:r>
        <w:t>A</w:t>
      </w:r>
      <w:r w:rsidRPr="009862F1">
        <w:t>s</w:t>
      </w:r>
      <w:r>
        <w:t>suming</w:t>
      </w:r>
      <w:r w:rsidRPr="009862F1">
        <w:t xml:space="preserve"> that </w:t>
      </w:r>
      <m:oMath>
        <m:sSub>
          <m:sSubPr>
            <m:ctrlPr>
              <w:rPr>
                <w:rFonts w:ascii="Cambria Math" w:hAnsi="Cambria Math"/>
                <w:i/>
              </w:rPr>
            </m:ctrlPr>
          </m:sSubPr>
          <m:e>
            <m:r>
              <w:rPr>
                <w:rFonts w:ascii="Cambria Math" w:hAnsi="Cambria Math"/>
              </w:rPr>
              <m:t>N</m:t>
            </m:r>
          </m:e>
          <m:sub>
            <m:r>
              <w:rPr>
                <w:rFonts w:ascii="Cambria Math" w:hAnsi="Cambria Math"/>
              </w:rPr>
              <m:t>RP</m:t>
            </m:r>
          </m:sub>
        </m:sSub>
      </m:oMath>
      <w:r w:rsidRPr="009862F1">
        <w:t xml:space="preserve">=2, and </w:t>
      </w:r>
      <w:r>
        <w:t>that UE0 in cell 0,</w:t>
      </w:r>
      <w:r w:rsidRPr="009862F1">
        <w:t xml:space="preserve"> se</w:t>
      </w:r>
      <w:r>
        <w:t>nds preambles A and B and UE1 in cell 1</w:t>
      </w:r>
      <w:r w:rsidRPr="009862F1">
        <w:t xml:space="preserve"> sends preambles</w:t>
      </w:r>
      <w:r>
        <w:t xml:space="preserve"> C and D. B-A ≠ D-C as cell 0 and cell 1 have different cell IDs</w:t>
      </w:r>
      <w:r w:rsidRPr="009862F1">
        <w:t>. In this case, the base station corresponding to cell 0 would detect preambles A and C in the first preamble. In the second preamble, the base station of cell 0, expects sequence B (which corresponds to sequence A), and sequence E (for example) which corresponds to sequence C in cell 0, such that B-A = E-C</w:t>
      </w:r>
      <w:r>
        <w:t>. As</w:t>
      </w:r>
      <w:r w:rsidRPr="009862F1">
        <w:t xml:space="preserve"> there is no sequence E in the second pream</w:t>
      </w:r>
      <w:r>
        <w:t xml:space="preserve">ble just sequences B and D, </w:t>
      </w:r>
      <w:r w:rsidRPr="009862F1">
        <w:t xml:space="preserve">D is rejected as it is not expected by cell 0. Thus, only preamble A B is detected in cell 0 which corresponds </w:t>
      </w:r>
      <w:r>
        <w:t>to UE0.</w:t>
      </w:r>
    </w:p>
    <w:p w14:paraId="39EC44FD" w14:textId="77777777" w:rsidR="00303F60" w:rsidRDefault="00303F60" w:rsidP="00303F60">
      <w:pPr>
        <w:tabs>
          <w:tab w:val="left" w:pos="1030"/>
        </w:tabs>
        <w:jc w:val="both"/>
      </w:pPr>
      <w:r w:rsidRPr="497069D4">
        <w:t xml:space="preserve">While we are limiting the preamble sequence offsets in each cell, we are not limit the preamble sequences that can be used in the system, as different cells use different preamble sequence offsets. For example, assuming that </w:t>
      </w:r>
      <m:oMath>
        <m:sSub>
          <m:sSubPr>
            <m:ctrlPr>
              <w:rPr>
                <w:rFonts w:ascii="Cambria Math" w:hAnsi="Cambria Math"/>
                <w:i/>
              </w:rPr>
            </m:ctrlPr>
          </m:sSubPr>
          <m:e>
            <m:r>
              <w:rPr>
                <w:rFonts w:ascii="Cambria Math" w:hAnsi="Cambria Math"/>
              </w:rPr>
              <m:t>N</m:t>
            </m:r>
          </m:e>
          <m:sub>
            <m:r>
              <w:rPr>
                <w:rFonts w:ascii="Cambria Math" w:hAnsi="Cambria Math"/>
              </w:rPr>
              <m:t>RP</m:t>
            </m:r>
          </m:sub>
        </m:sSub>
      </m:oMath>
      <w:r w:rsidRPr="497069D4">
        <w:t>=2, and that each preamble sequence has 2 signatures, the total number of signatures that the system can support is:</w:t>
      </w:r>
    </w:p>
    <w:p w14:paraId="381F7701" w14:textId="77777777" w:rsidR="00303F60" w:rsidRPr="00867C3B" w:rsidRDefault="00303F60" w:rsidP="00303F60">
      <w:pPr>
        <w:pStyle w:val="ListParagraph"/>
        <w:numPr>
          <w:ilvl w:val="0"/>
          <w:numId w:val="35"/>
        </w:numPr>
        <w:tabs>
          <w:tab w:val="left" w:pos="1030"/>
        </w:tabs>
        <w:spacing w:line="259" w:lineRule="auto"/>
        <w:jc w:val="both"/>
        <w:rPr>
          <w:sz w:val="20"/>
          <w:lang w:val="en-GB"/>
        </w:rPr>
      </w:pPr>
      <w:r w:rsidRPr="00A73B26">
        <w:rPr>
          <w:sz w:val="20"/>
          <w:lang w:val="en-US"/>
        </w:rPr>
        <w:t>In case the same signature is used in each preamble: 138 x 138 x 2 = 38088.</w:t>
      </w:r>
    </w:p>
    <w:p w14:paraId="2A252AB8" w14:textId="77777777" w:rsidR="00303F60" w:rsidRPr="00867C3B" w:rsidRDefault="00303F60" w:rsidP="00303F60">
      <w:pPr>
        <w:pStyle w:val="ListParagraph"/>
        <w:numPr>
          <w:ilvl w:val="0"/>
          <w:numId w:val="35"/>
        </w:numPr>
        <w:tabs>
          <w:tab w:val="left" w:pos="1030"/>
        </w:tabs>
        <w:spacing w:line="259" w:lineRule="auto"/>
        <w:jc w:val="both"/>
        <w:rPr>
          <w:sz w:val="20"/>
          <w:lang w:val="en-GB"/>
        </w:rPr>
      </w:pPr>
      <w:r w:rsidRPr="00A73B26">
        <w:rPr>
          <w:sz w:val="20"/>
          <w:lang w:val="en-US"/>
        </w:rPr>
        <w:t>In case different signatures are used in each preamble: 138 x 2 x138 x 2 = 76176.</w:t>
      </w:r>
    </w:p>
    <w:p w14:paraId="6EE4A803" w14:textId="77777777" w:rsidR="00303F60" w:rsidRPr="00867C3B" w:rsidRDefault="00303F60" w:rsidP="00303F60">
      <w:pPr>
        <w:tabs>
          <w:tab w:val="left" w:pos="1030"/>
        </w:tabs>
        <w:jc w:val="both"/>
      </w:pPr>
      <w:r w:rsidRPr="497069D4">
        <w:lastRenderedPageBreak/>
        <w:t>The total number of signatures per cell is 138 x 2 = 276. This assumes that the same signature is used on both preambles.</w:t>
      </w:r>
    </w:p>
    <w:p w14:paraId="4EED428E" w14:textId="6AA73460" w:rsidR="00303F60" w:rsidRPr="003416B2" w:rsidRDefault="00303F60" w:rsidP="003416B2">
      <w:pPr>
        <w:tabs>
          <w:tab w:val="left" w:pos="1030"/>
        </w:tabs>
        <w:jc w:val="both"/>
        <w:rPr>
          <w:b/>
          <w:bCs/>
          <w:i/>
          <w:iCs/>
        </w:rPr>
      </w:pPr>
      <w:r w:rsidRPr="00A5159E">
        <w:rPr>
          <w:b/>
          <w:bCs/>
          <w:i/>
          <w:iCs/>
        </w:rPr>
        <w:t xml:space="preserve">Proposal </w:t>
      </w:r>
      <w:r w:rsidR="006408B1">
        <w:rPr>
          <w:b/>
          <w:bCs/>
          <w:i/>
          <w:iCs/>
        </w:rPr>
        <w:t>6</w:t>
      </w:r>
      <w:r w:rsidRPr="00A5159E">
        <w:rPr>
          <w:b/>
          <w:bCs/>
          <w:i/>
          <w:iCs/>
        </w:rPr>
        <w:t xml:space="preserve">: </w:t>
      </w:r>
      <w:r>
        <w:rPr>
          <w:b/>
          <w:bCs/>
          <w:i/>
          <w:iCs/>
        </w:rPr>
        <w:t xml:space="preserve">In addition to preamble format option 1, </w:t>
      </w:r>
      <w:r w:rsidRPr="00A5159E">
        <w:rPr>
          <w:b/>
          <w:bCs/>
          <w:i/>
          <w:iCs/>
        </w:rPr>
        <w:t xml:space="preserve">NR shall support PRACH preamble format option 4 with fixed relationship between the sequence indices of the RACH preambles that depends on the cell ID. </w:t>
      </w:r>
    </w:p>
    <w:p w14:paraId="6ABDAF04" w14:textId="3CACE8EC" w:rsidR="0034111C" w:rsidRDefault="00864DD5">
      <w:pPr>
        <w:pStyle w:val="Heading1"/>
        <w:rPr>
          <w:color w:val="000000"/>
        </w:rPr>
      </w:pPr>
      <w:r>
        <w:rPr>
          <w:color w:val="000000"/>
        </w:rPr>
        <w:t>3</w:t>
      </w:r>
      <w:r w:rsidR="0034111C" w:rsidRPr="00A51522">
        <w:rPr>
          <w:color w:val="000000"/>
        </w:rPr>
        <w:tab/>
      </w:r>
      <w:r w:rsidR="00EE7FA7" w:rsidRPr="00A51522">
        <w:rPr>
          <w:color w:val="000000"/>
        </w:rPr>
        <w:t>Conclusion</w:t>
      </w:r>
    </w:p>
    <w:p w14:paraId="5070845E" w14:textId="51632EB6" w:rsidR="0004189A" w:rsidRDefault="00BD70D6" w:rsidP="00BD70D6">
      <w:pPr>
        <w:jc w:val="both"/>
      </w:pPr>
      <w:r>
        <w:rPr>
          <w:rFonts w:asciiTheme="minorHAnsi" w:hAnsiTheme="minorHAnsi" w:cstheme="minorHAnsi"/>
          <w:sz w:val="22"/>
          <w:szCs w:val="22"/>
          <w:lang w:val="en-US" w:eastAsia="x-none"/>
        </w:rPr>
        <w:t xml:space="preserve">The following </w:t>
      </w:r>
      <w:r w:rsidR="001C2649" w:rsidRPr="000A79C7">
        <w:rPr>
          <w:rFonts w:asciiTheme="minorHAnsi" w:hAnsiTheme="minorHAnsi" w:cstheme="minorHAnsi"/>
          <w:sz w:val="22"/>
          <w:szCs w:val="22"/>
          <w:lang w:val="en-US" w:eastAsia="x-none"/>
        </w:rPr>
        <w:t>proposal</w:t>
      </w:r>
      <w:r w:rsidR="006408B1">
        <w:rPr>
          <w:rFonts w:asciiTheme="minorHAnsi" w:hAnsiTheme="minorHAnsi" w:cstheme="minorHAnsi"/>
          <w:sz w:val="22"/>
          <w:szCs w:val="22"/>
          <w:lang w:val="en-US" w:eastAsia="x-none"/>
        </w:rPr>
        <w:t>s</w:t>
      </w:r>
      <w:r w:rsidR="001C2649" w:rsidRPr="000A79C7">
        <w:rPr>
          <w:rFonts w:asciiTheme="minorHAnsi" w:hAnsiTheme="minorHAnsi" w:cstheme="minorHAnsi"/>
          <w:sz w:val="22"/>
          <w:szCs w:val="22"/>
          <w:lang w:val="en-US" w:eastAsia="x-none"/>
        </w:rPr>
        <w:t xml:space="preserve"> have been made regarding </w:t>
      </w:r>
      <w:r w:rsidR="000473E0">
        <w:rPr>
          <w:rFonts w:asciiTheme="minorHAnsi" w:hAnsiTheme="minorHAnsi" w:cstheme="minorHAnsi"/>
          <w:sz w:val="22"/>
          <w:szCs w:val="22"/>
          <w:lang w:val="en-US" w:eastAsia="x-none"/>
        </w:rPr>
        <w:t>the PRACH preamble design</w:t>
      </w:r>
    </w:p>
    <w:p w14:paraId="785D9F93" w14:textId="77777777" w:rsidR="006408B1" w:rsidRPr="00A5159E" w:rsidRDefault="006408B1" w:rsidP="006408B1">
      <w:r w:rsidRPr="00A5159E">
        <w:rPr>
          <w:b/>
          <w:bCs/>
          <w:i/>
          <w:szCs w:val="12"/>
        </w:rPr>
        <w:t xml:space="preserve">Proposal </w:t>
      </w:r>
      <w:r>
        <w:rPr>
          <w:b/>
          <w:bCs/>
          <w:i/>
          <w:szCs w:val="12"/>
        </w:rPr>
        <w:t>1</w:t>
      </w:r>
      <w:r w:rsidRPr="00A5159E">
        <w:rPr>
          <w:b/>
          <w:bCs/>
          <w:i/>
          <w:szCs w:val="12"/>
        </w:rPr>
        <w:t>: Support 139 sequence length for short RACH preamble sequence.</w:t>
      </w:r>
    </w:p>
    <w:p w14:paraId="6A45540E" w14:textId="77777777" w:rsidR="006408B1" w:rsidRDefault="006408B1" w:rsidP="006408B1">
      <w:r>
        <w:rPr>
          <w:b/>
          <w:i/>
        </w:rPr>
        <w:t>Proposal 2: Use the same cyclic shift values as defined for format 0 and 1 for NR PRACH preamble format 2.</w:t>
      </w:r>
    </w:p>
    <w:p w14:paraId="78F38F18" w14:textId="77777777" w:rsidR="006408B1" w:rsidRPr="005340E6" w:rsidRDefault="006408B1" w:rsidP="006408B1">
      <w:pPr>
        <w:rPr>
          <w:b/>
          <w:i/>
        </w:rPr>
      </w:pPr>
      <w:r>
        <w:rPr>
          <w:b/>
          <w:i/>
        </w:rPr>
        <w:t>Proposal 3: Support cyclic values highlighted in Table 1 for format 3.</w:t>
      </w:r>
    </w:p>
    <w:p w14:paraId="01D584F4" w14:textId="77777777" w:rsidR="00756A01" w:rsidRDefault="00756A01" w:rsidP="00756A01">
      <w:r>
        <w:rPr>
          <w:b/>
          <w:i/>
        </w:rPr>
        <w:t>Proposal 4: Support cyclic val</w:t>
      </w:r>
      <w:bookmarkStart w:id="10" w:name="_GoBack"/>
      <w:bookmarkEnd w:id="10"/>
      <w:r>
        <w:rPr>
          <w:b/>
          <w:i/>
        </w:rPr>
        <w:t>ues highlighted in Table 2 and Table 3 for format short sequences.</w:t>
      </w:r>
    </w:p>
    <w:p w14:paraId="63A53A96" w14:textId="1937BA39" w:rsidR="001C2649" w:rsidRDefault="001C2649" w:rsidP="00BD70D6">
      <w:pPr>
        <w:jc w:val="both"/>
        <w:rPr>
          <w:rFonts w:asciiTheme="minorHAnsi" w:hAnsiTheme="minorHAnsi" w:cstheme="minorHAnsi"/>
          <w:sz w:val="22"/>
          <w:szCs w:val="22"/>
          <w:lang w:val="en-US" w:eastAsia="x-none"/>
        </w:rPr>
      </w:pPr>
      <w:r w:rsidRPr="000A79C7">
        <w:rPr>
          <w:rFonts w:asciiTheme="minorHAnsi" w:hAnsiTheme="minorHAnsi" w:cstheme="minorHAnsi"/>
          <w:sz w:val="22"/>
          <w:szCs w:val="22"/>
          <w:lang w:val="en-US" w:eastAsia="x-none"/>
        </w:rPr>
        <w:t xml:space="preserve">The following </w:t>
      </w:r>
      <w:r w:rsidR="000473E0">
        <w:rPr>
          <w:rFonts w:asciiTheme="minorHAnsi" w:hAnsiTheme="minorHAnsi" w:cstheme="minorHAnsi"/>
          <w:sz w:val="22"/>
          <w:szCs w:val="22"/>
          <w:lang w:val="en-US" w:eastAsia="x-none"/>
        </w:rPr>
        <w:t xml:space="preserve">observations and </w:t>
      </w:r>
      <w:r w:rsidRPr="000A79C7">
        <w:rPr>
          <w:rFonts w:asciiTheme="minorHAnsi" w:hAnsiTheme="minorHAnsi" w:cstheme="minorHAnsi"/>
          <w:sz w:val="22"/>
          <w:szCs w:val="22"/>
          <w:lang w:val="en-US" w:eastAsia="x-none"/>
        </w:rPr>
        <w:t>proposal</w:t>
      </w:r>
      <w:r w:rsidR="000473E0">
        <w:rPr>
          <w:rFonts w:asciiTheme="minorHAnsi" w:hAnsiTheme="minorHAnsi" w:cstheme="minorHAnsi"/>
          <w:sz w:val="22"/>
          <w:szCs w:val="22"/>
          <w:lang w:val="en-US" w:eastAsia="x-none"/>
        </w:rPr>
        <w:t>s</w:t>
      </w:r>
      <w:r w:rsidRPr="000A79C7">
        <w:rPr>
          <w:rFonts w:asciiTheme="minorHAnsi" w:hAnsiTheme="minorHAnsi" w:cstheme="minorHAnsi"/>
          <w:sz w:val="22"/>
          <w:szCs w:val="22"/>
          <w:lang w:val="en-US" w:eastAsia="x-none"/>
        </w:rPr>
        <w:t xml:space="preserve"> has been made </w:t>
      </w:r>
      <w:r w:rsidR="00154869" w:rsidRPr="000A79C7">
        <w:rPr>
          <w:rFonts w:asciiTheme="minorHAnsi" w:hAnsiTheme="minorHAnsi" w:cstheme="minorHAnsi"/>
          <w:sz w:val="22"/>
          <w:szCs w:val="22"/>
          <w:lang w:val="en-US" w:eastAsia="x-none"/>
        </w:rPr>
        <w:t>regarding</w:t>
      </w:r>
      <w:r w:rsidRPr="000A79C7">
        <w:rPr>
          <w:rFonts w:asciiTheme="minorHAnsi" w:hAnsiTheme="minorHAnsi" w:cstheme="minorHAnsi"/>
          <w:sz w:val="22"/>
          <w:szCs w:val="22"/>
          <w:lang w:val="en-US" w:eastAsia="x-none"/>
        </w:rPr>
        <w:t xml:space="preserve"> the </w:t>
      </w:r>
      <w:r w:rsidR="000473E0">
        <w:rPr>
          <w:rFonts w:asciiTheme="minorHAnsi" w:hAnsiTheme="minorHAnsi" w:cstheme="minorHAnsi"/>
          <w:sz w:val="22"/>
          <w:szCs w:val="22"/>
          <w:lang w:val="en-US" w:eastAsia="x-none"/>
        </w:rPr>
        <w:t>PRACH capacity enhancements:</w:t>
      </w:r>
    </w:p>
    <w:p w14:paraId="53E530B6" w14:textId="77777777" w:rsidR="006408B1" w:rsidRPr="00A5159E" w:rsidRDefault="006408B1" w:rsidP="006408B1">
      <w:pPr>
        <w:jc w:val="both"/>
        <w:rPr>
          <w:b/>
          <w:bCs/>
          <w:i/>
          <w:iCs/>
        </w:rPr>
      </w:pPr>
      <w:r w:rsidRPr="00A5159E">
        <w:rPr>
          <w:b/>
          <w:bCs/>
          <w:i/>
          <w:iCs/>
        </w:rPr>
        <w:t xml:space="preserve">Observation </w:t>
      </w:r>
      <w:r w:rsidRPr="006408B1">
        <w:rPr>
          <w:b/>
          <w:bCs/>
          <w:i/>
          <w:iCs/>
        </w:rPr>
        <w:t>1</w:t>
      </w:r>
      <w:r w:rsidRPr="00A5159E">
        <w:rPr>
          <w:b/>
          <w:bCs/>
          <w:i/>
          <w:iCs/>
        </w:rPr>
        <w:t xml:space="preserve">: Short sequences have less </w:t>
      </w:r>
      <w:r>
        <w:rPr>
          <w:b/>
          <w:bCs/>
          <w:i/>
          <w:iCs/>
        </w:rPr>
        <w:t>sequences/</w:t>
      </w:r>
      <w:r w:rsidRPr="00A5159E">
        <w:rPr>
          <w:b/>
          <w:bCs/>
          <w:i/>
          <w:iCs/>
        </w:rPr>
        <w:t>signatures available than long sequences.</w:t>
      </w:r>
    </w:p>
    <w:p w14:paraId="1A8A8C8D" w14:textId="3114FD37" w:rsidR="006408B1" w:rsidRDefault="006408B1" w:rsidP="006408B1">
      <w:pPr>
        <w:jc w:val="both"/>
        <w:rPr>
          <w:b/>
          <w:bCs/>
          <w:i/>
          <w:iCs/>
        </w:rPr>
      </w:pPr>
      <w:r w:rsidRPr="497069D4">
        <w:rPr>
          <w:b/>
          <w:bCs/>
          <w:i/>
          <w:iCs/>
        </w:rPr>
        <w:t xml:space="preserve">Observation </w:t>
      </w:r>
      <w:r w:rsidRPr="006408B1">
        <w:rPr>
          <w:b/>
          <w:bCs/>
          <w:i/>
          <w:iCs/>
        </w:rPr>
        <w:t>2</w:t>
      </w:r>
      <w:r w:rsidRPr="497069D4">
        <w:rPr>
          <w:b/>
          <w:bCs/>
          <w:i/>
          <w:iCs/>
        </w:rPr>
        <w:t xml:space="preserve">: Sequences with higher subcarrier spacing have less signatures available than sequences with lower subcarrier spacing. </w:t>
      </w:r>
    </w:p>
    <w:p w14:paraId="5D63D6E4" w14:textId="77777777" w:rsidR="006408B1" w:rsidRPr="00A5159E" w:rsidRDefault="006408B1" w:rsidP="006408B1">
      <w:pPr>
        <w:jc w:val="both"/>
        <w:rPr>
          <w:b/>
          <w:bCs/>
          <w:i/>
          <w:iCs/>
        </w:rPr>
      </w:pPr>
      <w:r w:rsidRPr="00A5159E">
        <w:rPr>
          <w:b/>
          <w:bCs/>
          <w:i/>
          <w:iCs/>
        </w:rPr>
        <w:t xml:space="preserve">Observation </w:t>
      </w:r>
      <w:r w:rsidRPr="006408B1">
        <w:rPr>
          <w:b/>
          <w:bCs/>
          <w:i/>
          <w:iCs/>
        </w:rPr>
        <w:t>3</w:t>
      </w:r>
      <w:r w:rsidRPr="00A5159E">
        <w:rPr>
          <w:b/>
          <w:bCs/>
          <w:i/>
          <w:iCs/>
        </w:rPr>
        <w:t xml:space="preserve">: As the RACH preamble sub-carrier spacing </w:t>
      </w:r>
      <w:r>
        <w:rPr>
          <w:b/>
          <w:bCs/>
          <w:i/>
          <w:iCs/>
        </w:rPr>
        <w:t>de</w:t>
      </w:r>
      <w:r w:rsidRPr="00A5159E">
        <w:rPr>
          <w:b/>
          <w:bCs/>
          <w:i/>
          <w:iCs/>
        </w:rPr>
        <w:t xml:space="preserve">creases, the RACH resource overhead in a multi-beam system </w:t>
      </w:r>
      <w:r>
        <w:rPr>
          <w:b/>
          <w:bCs/>
          <w:i/>
          <w:iCs/>
        </w:rPr>
        <w:t>in</w:t>
      </w:r>
      <w:r w:rsidRPr="00A5159E">
        <w:rPr>
          <w:b/>
          <w:bCs/>
          <w:i/>
          <w:iCs/>
        </w:rPr>
        <w:t>creases.</w:t>
      </w:r>
    </w:p>
    <w:p w14:paraId="5A37DEB0" w14:textId="77777777" w:rsidR="006408B1" w:rsidRDefault="006408B1" w:rsidP="006408B1">
      <w:pPr>
        <w:jc w:val="both"/>
        <w:rPr>
          <w:b/>
          <w:i/>
        </w:rPr>
      </w:pPr>
      <w:r>
        <w:rPr>
          <w:b/>
          <w:i/>
        </w:rPr>
        <w:t xml:space="preserve">Observation </w:t>
      </w:r>
      <w:r w:rsidRPr="006408B1">
        <w:rPr>
          <w:b/>
          <w:i/>
        </w:rPr>
        <w:t>4</w:t>
      </w:r>
      <w:r>
        <w:rPr>
          <w:b/>
          <w:i/>
        </w:rPr>
        <w:t xml:space="preserve">: </w:t>
      </w:r>
      <w:r w:rsidRPr="00A5159E">
        <w:rPr>
          <w:b/>
          <w:i/>
        </w:rPr>
        <w:t>The selection of the RACH preamble sub-carrier spacing is a compromise between the RACH sequence capacity and the RACH resource overhead in a multi-beam system.</w:t>
      </w:r>
    </w:p>
    <w:p w14:paraId="05C8573F" w14:textId="77777777" w:rsidR="006408B1" w:rsidRPr="00A5159E" w:rsidRDefault="006408B1" w:rsidP="006408B1">
      <w:pPr>
        <w:jc w:val="both"/>
        <w:rPr>
          <w:b/>
          <w:i/>
        </w:rPr>
      </w:pPr>
      <w:r w:rsidRPr="00A5159E">
        <w:rPr>
          <w:b/>
          <w:i/>
        </w:rPr>
        <w:t xml:space="preserve">Observation </w:t>
      </w:r>
      <w:r w:rsidRPr="006408B1">
        <w:rPr>
          <w:b/>
          <w:i/>
        </w:rPr>
        <w:t>5</w:t>
      </w:r>
      <w:r w:rsidRPr="00A5159E">
        <w:rPr>
          <w:b/>
          <w:i/>
        </w:rPr>
        <w:t>: Additional use cases for PRACH in NR, could require an increase in the number of PRACH signatures per cell over LTE. This further necessitates the need to increase the PRACH capacity.</w:t>
      </w:r>
    </w:p>
    <w:p w14:paraId="1907AD4F" w14:textId="77777777" w:rsidR="006408B1" w:rsidRPr="00A5159E" w:rsidRDefault="006408B1" w:rsidP="006408B1">
      <w:pPr>
        <w:rPr>
          <w:b/>
          <w:i/>
        </w:rPr>
      </w:pPr>
      <w:r w:rsidRPr="00A5159E">
        <w:rPr>
          <w:b/>
          <w:i/>
        </w:rPr>
        <w:t xml:space="preserve">Observation </w:t>
      </w:r>
      <w:r w:rsidRPr="006408B1">
        <w:rPr>
          <w:b/>
          <w:i/>
        </w:rPr>
        <w:t>6</w:t>
      </w:r>
      <w:r w:rsidRPr="00A5159E">
        <w:rPr>
          <w:b/>
          <w:i/>
        </w:rPr>
        <w:t>: Cell densification and the use of small cells, necessities the increase</w:t>
      </w:r>
      <w:r>
        <w:rPr>
          <w:b/>
          <w:i/>
        </w:rPr>
        <w:t xml:space="preserve"> of</w:t>
      </w:r>
      <w:r w:rsidRPr="00A5159E">
        <w:rPr>
          <w:b/>
          <w:i/>
        </w:rPr>
        <w:t xml:space="preserve"> the PRACH </w:t>
      </w:r>
      <w:r>
        <w:rPr>
          <w:b/>
          <w:i/>
        </w:rPr>
        <w:t xml:space="preserve">sequence </w:t>
      </w:r>
      <w:r w:rsidRPr="00A5159E">
        <w:rPr>
          <w:b/>
          <w:i/>
        </w:rPr>
        <w:t>capacity.</w:t>
      </w:r>
    </w:p>
    <w:p w14:paraId="0D42F955" w14:textId="009A9496" w:rsidR="006408B1" w:rsidRPr="00A5159E" w:rsidRDefault="006408B1" w:rsidP="006408B1">
      <w:pPr>
        <w:jc w:val="both"/>
        <w:rPr>
          <w:b/>
          <w:bCs/>
          <w:i/>
          <w:iCs/>
        </w:rPr>
      </w:pPr>
      <w:r w:rsidRPr="00A5159E">
        <w:rPr>
          <w:b/>
          <w:i/>
        </w:rPr>
        <w:t>Proposal</w:t>
      </w:r>
      <w:r>
        <w:rPr>
          <w:b/>
          <w:i/>
        </w:rPr>
        <w:t xml:space="preserve"> 5: NR shall adopt</w:t>
      </w:r>
      <w:r w:rsidRPr="00A5159E">
        <w:rPr>
          <w:b/>
          <w:i/>
        </w:rPr>
        <w:t xml:space="preserve"> mechanisms to increase the PRACH capacity.</w:t>
      </w:r>
    </w:p>
    <w:p w14:paraId="314486CF" w14:textId="77777777" w:rsidR="006408B1" w:rsidRDefault="006408B1" w:rsidP="006408B1">
      <w:pPr>
        <w:tabs>
          <w:tab w:val="left" w:pos="1030"/>
        </w:tabs>
        <w:jc w:val="both"/>
        <w:rPr>
          <w:b/>
          <w:bCs/>
          <w:i/>
          <w:iCs/>
        </w:rPr>
      </w:pPr>
      <w:r w:rsidRPr="00A5159E">
        <w:rPr>
          <w:b/>
          <w:bCs/>
          <w:i/>
          <w:iCs/>
        </w:rPr>
        <w:t xml:space="preserve">Observation </w:t>
      </w:r>
      <w:r w:rsidRPr="006408B1">
        <w:rPr>
          <w:b/>
          <w:bCs/>
          <w:i/>
          <w:iCs/>
        </w:rPr>
        <w:t>7</w:t>
      </w:r>
      <w:r w:rsidRPr="00A5159E">
        <w:rPr>
          <w:b/>
          <w:bCs/>
          <w:i/>
          <w:iCs/>
        </w:rPr>
        <w:t xml:space="preserve">: PRACH preamble format </w:t>
      </w:r>
      <w:r>
        <w:rPr>
          <w:b/>
          <w:bCs/>
          <w:i/>
          <w:iCs/>
        </w:rPr>
        <w:t xml:space="preserve">option </w:t>
      </w:r>
      <w:r w:rsidRPr="00A5159E">
        <w:rPr>
          <w:b/>
          <w:bCs/>
          <w:i/>
          <w:iCs/>
        </w:rPr>
        <w:t xml:space="preserve">4 </w:t>
      </w:r>
      <w:r>
        <w:rPr>
          <w:b/>
          <w:bCs/>
          <w:i/>
          <w:iCs/>
        </w:rPr>
        <w:t>has a higher PRACH sequence capacity than PRACH preamble format option 1 with sinusoidal cover and PRACH preamble format option 2 with OCC</w:t>
      </w:r>
      <w:r w:rsidRPr="00A5159E">
        <w:rPr>
          <w:b/>
          <w:bCs/>
          <w:i/>
          <w:iCs/>
        </w:rPr>
        <w:t>.</w:t>
      </w:r>
    </w:p>
    <w:p w14:paraId="3C944D26" w14:textId="77777777" w:rsidR="006408B1" w:rsidRPr="00A5159E" w:rsidRDefault="006408B1" w:rsidP="006408B1">
      <w:pPr>
        <w:tabs>
          <w:tab w:val="left" w:pos="1030"/>
        </w:tabs>
        <w:jc w:val="both"/>
        <w:rPr>
          <w:b/>
          <w:bCs/>
          <w:i/>
          <w:iCs/>
        </w:rPr>
      </w:pPr>
      <w:r w:rsidRPr="00A5159E">
        <w:rPr>
          <w:b/>
          <w:bCs/>
          <w:i/>
          <w:iCs/>
        </w:rPr>
        <w:t xml:space="preserve">Observation </w:t>
      </w:r>
      <w:r w:rsidRPr="006408B1">
        <w:rPr>
          <w:b/>
          <w:bCs/>
          <w:i/>
          <w:iCs/>
        </w:rPr>
        <w:t>8</w:t>
      </w:r>
      <w:r w:rsidRPr="00A5159E">
        <w:rPr>
          <w:b/>
          <w:bCs/>
          <w:i/>
          <w:iCs/>
        </w:rPr>
        <w:t xml:space="preserve">: PRACH preamble format </w:t>
      </w:r>
      <w:r>
        <w:rPr>
          <w:b/>
          <w:bCs/>
          <w:i/>
          <w:iCs/>
        </w:rPr>
        <w:t xml:space="preserve">option </w:t>
      </w:r>
      <w:r w:rsidRPr="00A5159E">
        <w:rPr>
          <w:b/>
          <w:bCs/>
          <w:i/>
          <w:iCs/>
        </w:rPr>
        <w:t xml:space="preserve">4 suffers from PRACH detection ambiguity if more than one UE attempts send PRACH in the same RACH occasions, and it suffers from lower </w:t>
      </w:r>
      <w:r w:rsidRPr="00D05DA4">
        <w:rPr>
          <w:b/>
          <w:bCs/>
          <w:i/>
          <w:iCs/>
        </w:rPr>
        <w:t>probability</w:t>
      </w:r>
      <w:r w:rsidRPr="00A5159E">
        <w:rPr>
          <w:b/>
          <w:bCs/>
          <w:i/>
          <w:iCs/>
        </w:rPr>
        <w:t xml:space="preserve"> of detection.</w:t>
      </w:r>
    </w:p>
    <w:p w14:paraId="09EFE9B3" w14:textId="41581F52" w:rsidR="006408B1" w:rsidRPr="006408B1" w:rsidRDefault="006408B1" w:rsidP="006408B1">
      <w:pPr>
        <w:tabs>
          <w:tab w:val="left" w:pos="1030"/>
        </w:tabs>
        <w:jc w:val="both"/>
        <w:rPr>
          <w:b/>
          <w:bCs/>
          <w:i/>
          <w:iCs/>
        </w:rPr>
      </w:pPr>
      <w:r w:rsidRPr="00A5159E">
        <w:rPr>
          <w:b/>
          <w:bCs/>
          <w:i/>
          <w:iCs/>
        </w:rPr>
        <w:t xml:space="preserve">Proposal </w:t>
      </w:r>
      <w:r>
        <w:rPr>
          <w:b/>
          <w:bCs/>
          <w:i/>
          <w:iCs/>
        </w:rPr>
        <w:t>6</w:t>
      </w:r>
      <w:r w:rsidRPr="00A5159E">
        <w:rPr>
          <w:b/>
          <w:bCs/>
          <w:i/>
          <w:iCs/>
        </w:rPr>
        <w:t xml:space="preserve">: </w:t>
      </w:r>
      <w:r>
        <w:rPr>
          <w:b/>
          <w:bCs/>
          <w:i/>
          <w:iCs/>
        </w:rPr>
        <w:t xml:space="preserve">In addition to preamble format option 1, </w:t>
      </w:r>
      <w:r w:rsidRPr="00A5159E">
        <w:rPr>
          <w:b/>
          <w:bCs/>
          <w:i/>
          <w:iCs/>
        </w:rPr>
        <w:t xml:space="preserve">NR shall support PRACH preamble format option 4 with fixed relationship between the sequence indices of the RACH preambles that depends on the cell ID. </w:t>
      </w:r>
    </w:p>
    <w:p w14:paraId="6719C21D" w14:textId="32DF0D0F" w:rsidR="0034111C" w:rsidRPr="00A51522" w:rsidRDefault="0034111C">
      <w:pPr>
        <w:pStyle w:val="Heading1"/>
      </w:pPr>
      <w:r w:rsidRPr="00CA2DB2">
        <w:t>References</w:t>
      </w:r>
      <w:r w:rsidR="00CA2DB2">
        <w:t>:</w:t>
      </w:r>
    </w:p>
    <w:p w14:paraId="08362E81" w14:textId="77777777" w:rsidR="00696FB3" w:rsidRPr="00BD70D6" w:rsidRDefault="003845EF" w:rsidP="00696FB3">
      <w:pPr>
        <w:pStyle w:val="ListParagraph"/>
        <w:numPr>
          <w:ilvl w:val="0"/>
          <w:numId w:val="1"/>
        </w:numPr>
        <w:rPr>
          <w:rFonts w:asciiTheme="minorHAnsi" w:hAnsiTheme="minorHAnsi" w:cstheme="minorHAnsi"/>
          <w:sz w:val="22"/>
          <w:szCs w:val="22"/>
          <w:lang w:val="en-GB"/>
        </w:rPr>
      </w:pPr>
      <w:bookmarkStart w:id="11" w:name="_Ref490133583"/>
      <w:r w:rsidRPr="00BD70D6">
        <w:rPr>
          <w:rFonts w:asciiTheme="minorHAnsi" w:hAnsiTheme="minorHAnsi" w:cstheme="minorHAnsi"/>
          <w:sz w:val="22"/>
          <w:szCs w:val="22"/>
          <w:lang w:val="en-GB"/>
        </w:rPr>
        <w:t>TR 38.913, “Study on Scenarios and Requirements for Next Generation Access Technologies”, 3GPP</w:t>
      </w:r>
      <w:r w:rsidR="00696FB3" w:rsidRPr="00BD70D6">
        <w:rPr>
          <w:rFonts w:asciiTheme="minorHAnsi" w:hAnsiTheme="minorHAnsi" w:cstheme="minorHAnsi"/>
          <w:sz w:val="22"/>
          <w:szCs w:val="22"/>
          <w:lang w:val="en-GB"/>
        </w:rPr>
        <w:t>.</w:t>
      </w:r>
      <w:bookmarkEnd w:id="11"/>
    </w:p>
    <w:p w14:paraId="4F72E2F3" w14:textId="77777777" w:rsidR="00696FB3" w:rsidRPr="00BD70D6" w:rsidRDefault="00696FB3" w:rsidP="00696FB3">
      <w:pPr>
        <w:pStyle w:val="ListParagraph"/>
        <w:numPr>
          <w:ilvl w:val="0"/>
          <w:numId w:val="1"/>
        </w:numPr>
        <w:rPr>
          <w:rFonts w:asciiTheme="minorHAnsi" w:hAnsiTheme="minorHAnsi" w:cstheme="minorHAnsi"/>
          <w:sz w:val="22"/>
          <w:szCs w:val="22"/>
          <w:lang w:val="en-GB"/>
        </w:rPr>
      </w:pPr>
      <w:bookmarkStart w:id="12" w:name="_Ref490133602"/>
      <w:r w:rsidRPr="00A73B26">
        <w:rPr>
          <w:rFonts w:asciiTheme="minorHAnsi" w:hAnsiTheme="minorHAnsi" w:cstheme="minorHAnsi"/>
          <w:sz w:val="22"/>
          <w:szCs w:val="22"/>
          <w:lang w:val="en-US"/>
        </w:rPr>
        <w:t>TR 38.802, “Study on New Radio (NR) Access Technology; Physical Layer Aspects”, 3GPP.</w:t>
      </w:r>
      <w:bookmarkEnd w:id="12"/>
    </w:p>
    <w:p w14:paraId="4B671A79" w14:textId="546BDAFA" w:rsidR="00696FB3" w:rsidRPr="0076762A" w:rsidRDefault="00696FB3" w:rsidP="00696FB3">
      <w:pPr>
        <w:pStyle w:val="ListParagraph"/>
        <w:numPr>
          <w:ilvl w:val="0"/>
          <w:numId w:val="1"/>
        </w:numPr>
        <w:rPr>
          <w:rFonts w:asciiTheme="minorHAnsi" w:hAnsiTheme="minorHAnsi" w:cstheme="minorHAnsi"/>
          <w:sz w:val="22"/>
          <w:szCs w:val="22"/>
          <w:lang w:val="en-GB"/>
        </w:rPr>
      </w:pPr>
      <w:bookmarkStart w:id="13" w:name="_Ref490133617"/>
      <w:r w:rsidRPr="00A73B26">
        <w:rPr>
          <w:rFonts w:asciiTheme="minorHAnsi" w:hAnsiTheme="minorHAnsi" w:cstheme="minorHAnsi"/>
          <w:sz w:val="22"/>
          <w:szCs w:val="22"/>
          <w:lang w:val="en-US"/>
        </w:rPr>
        <w:t>Chairman’s Note, RAN1#NR-AH2, Qingdao, China, June 2017.</w:t>
      </w:r>
      <w:bookmarkEnd w:id="13"/>
    </w:p>
    <w:p w14:paraId="48BC9910" w14:textId="4372A096" w:rsidR="0076762A" w:rsidRDefault="001701A5" w:rsidP="0076762A">
      <w:pPr>
        <w:pStyle w:val="ListParagraph"/>
        <w:numPr>
          <w:ilvl w:val="0"/>
          <w:numId w:val="1"/>
        </w:numPr>
        <w:rPr>
          <w:rFonts w:asciiTheme="minorHAnsi" w:hAnsiTheme="minorHAnsi" w:cstheme="minorHAnsi"/>
          <w:sz w:val="22"/>
          <w:szCs w:val="22"/>
          <w:lang w:val="en-GB"/>
        </w:rPr>
      </w:pPr>
      <w:r>
        <w:rPr>
          <w:rFonts w:asciiTheme="minorHAnsi" w:hAnsiTheme="minorHAnsi" w:cstheme="minorHAnsi"/>
          <w:sz w:val="22"/>
          <w:szCs w:val="22"/>
          <w:lang w:val="en-GB"/>
        </w:rPr>
        <w:t>3GPP TS 36.211, “Evolved Universal Terrestrial Radio Access (E-UTRA); Physical Channels and modulation”</w:t>
      </w:r>
      <w:r w:rsidR="00AA750D">
        <w:rPr>
          <w:rFonts w:asciiTheme="minorHAnsi" w:hAnsiTheme="minorHAnsi" w:cstheme="minorHAnsi"/>
          <w:sz w:val="22"/>
          <w:szCs w:val="22"/>
          <w:lang w:val="en-GB"/>
        </w:rPr>
        <w:t>.</w:t>
      </w:r>
    </w:p>
    <w:p w14:paraId="79459699" w14:textId="27CCC4BE" w:rsidR="00AA32EE" w:rsidRDefault="00AA32EE" w:rsidP="00AA32EE">
      <w:pPr>
        <w:numPr>
          <w:ilvl w:val="0"/>
          <w:numId w:val="1"/>
        </w:numPr>
        <w:overflowPunct/>
        <w:autoSpaceDE/>
        <w:autoSpaceDN/>
        <w:adjustRightInd/>
        <w:spacing w:after="160" w:line="259" w:lineRule="auto"/>
        <w:textAlignment w:val="auto"/>
        <w:rPr>
          <w:rFonts w:cstheme="minorHAnsi"/>
        </w:rPr>
      </w:pPr>
      <w:bookmarkStart w:id="14" w:name="_Ref489875851"/>
      <w:r>
        <w:rPr>
          <w:rFonts w:cstheme="minorHAnsi"/>
        </w:rPr>
        <w:t xml:space="preserve">R1-1710890, “NR Physical Random Access Channel Capacity”, </w:t>
      </w:r>
      <w:r w:rsidRPr="00806B95">
        <w:rPr>
          <w:rFonts w:cstheme="minorHAnsi"/>
        </w:rPr>
        <w:t>Nokia Alcatel-Lucent Shanghai Bell, Qingdao, China, June 2017.</w:t>
      </w:r>
      <w:bookmarkEnd w:id="14"/>
    </w:p>
    <w:p w14:paraId="3005696F" w14:textId="77777777" w:rsidR="00C94209" w:rsidRPr="00806B95" w:rsidRDefault="00C94209" w:rsidP="00C94209">
      <w:pPr>
        <w:numPr>
          <w:ilvl w:val="0"/>
          <w:numId w:val="1"/>
        </w:numPr>
      </w:pPr>
      <w:bookmarkStart w:id="15" w:name="_Ref484679182"/>
      <w:r w:rsidRPr="00806B95">
        <w:t>Chairman’s Note, RAN1#88bis, Spokane, USA, June 2017.</w:t>
      </w:r>
      <w:bookmarkEnd w:id="15"/>
    </w:p>
    <w:p w14:paraId="783F9D1D" w14:textId="77777777" w:rsidR="00E660DF" w:rsidRDefault="00E660DF" w:rsidP="00E660DF">
      <w:pPr>
        <w:numPr>
          <w:ilvl w:val="0"/>
          <w:numId w:val="1"/>
        </w:numPr>
      </w:pPr>
      <w:bookmarkStart w:id="16" w:name="_Ref484777763"/>
      <w:r w:rsidRPr="00806B95">
        <w:t>Chairman’s Note, RAN1#89, Hangzhou, China, May 2017.</w:t>
      </w:r>
      <w:bookmarkEnd w:id="16"/>
    </w:p>
    <w:p w14:paraId="22EED671" w14:textId="77777777" w:rsidR="00E660DF" w:rsidRPr="00806B95" w:rsidRDefault="00E660DF" w:rsidP="00E660DF">
      <w:pPr>
        <w:numPr>
          <w:ilvl w:val="0"/>
          <w:numId w:val="1"/>
        </w:numPr>
        <w:overflowPunct/>
        <w:autoSpaceDE/>
        <w:autoSpaceDN/>
        <w:adjustRightInd/>
        <w:spacing w:after="160" w:line="259" w:lineRule="auto"/>
        <w:textAlignment w:val="auto"/>
        <w:rPr>
          <w:rFonts w:cstheme="minorHAnsi"/>
        </w:rPr>
      </w:pPr>
      <w:bookmarkStart w:id="17" w:name="_Ref485312357"/>
      <w:r w:rsidRPr="00806B95">
        <w:rPr>
          <w:rFonts w:cstheme="minorHAnsi"/>
        </w:rPr>
        <w:t>R1-1708236, “Paging in multi-bea</w:t>
      </w:r>
      <w:r>
        <w:rPr>
          <w:rFonts w:cstheme="minorHAnsi"/>
        </w:rPr>
        <w:t xml:space="preserve">m system”, </w:t>
      </w:r>
      <w:r w:rsidRPr="00806B95">
        <w:rPr>
          <w:rFonts w:cstheme="minorHAnsi"/>
        </w:rPr>
        <w:t>Nokia Alcatel-Lucent Shanghai Bell, Hangzhou, China, May 2017.</w:t>
      </w:r>
      <w:bookmarkEnd w:id="17"/>
    </w:p>
    <w:p w14:paraId="3FA5738F" w14:textId="77777777" w:rsidR="00E660DF" w:rsidRDefault="00E660DF" w:rsidP="00E660DF">
      <w:pPr>
        <w:numPr>
          <w:ilvl w:val="0"/>
          <w:numId w:val="1"/>
        </w:numPr>
        <w:overflowPunct/>
        <w:autoSpaceDE/>
        <w:autoSpaceDN/>
        <w:adjustRightInd/>
        <w:spacing w:after="160" w:line="259" w:lineRule="auto"/>
        <w:textAlignment w:val="auto"/>
        <w:rPr>
          <w:rFonts w:cstheme="minorHAnsi"/>
        </w:rPr>
      </w:pPr>
      <w:bookmarkStart w:id="18" w:name="_Ref485067824"/>
      <w:r w:rsidRPr="002C5C10">
        <w:rPr>
          <w:rFonts w:cstheme="minorHAnsi"/>
        </w:rPr>
        <w:lastRenderedPageBreak/>
        <w:t>R2-1706860, “Comparison of Different Solutions for Response-Driven Paging”, Nokia Alcatel-Lucent Shanghai Bell, Qingdao, China, June 2017.</w:t>
      </w:r>
      <w:bookmarkEnd w:id="18"/>
    </w:p>
    <w:p w14:paraId="47F0B311" w14:textId="77777777" w:rsidR="006846C3" w:rsidRPr="00806B95" w:rsidRDefault="006846C3" w:rsidP="006846C3">
      <w:pPr>
        <w:numPr>
          <w:ilvl w:val="0"/>
          <w:numId w:val="1"/>
        </w:numPr>
        <w:overflowPunct/>
        <w:autoSpaceDE/>
        <w:autoSpaceDN/>
        <w:adjustRightInd/>
        <w:spacing w:after="160" w:line="259" w:lineRule="auto"/>
        <w:textAlignment w:val="auto"/>
        <w:rPr>
          <w:rFonts w:cstheme="minorHAnsi"/>
        </w:rPr>
      </w:pPr>
      <w:bookmarkStart w:id="19" w:name="_Ref490116767"/>
      <w:r>
        <w:rPr>
          <w:rFonts w:cstheme="minorHAnsi"/>
        </w:rPr>
        <w:t>R1-1711950, “LS to RAN1 on Random Access”, Qingdao, China, June 2017.</w:t>
      </w:r>
      <w:bookmarkEnd w:id="19"/>
    </w:p>
    <w:p w14:paraId="75A46764" w14:textId="3AEE3966" w:rsidR="00AA32EE" w:rsidRPr="0017565B" w:rsidRDefault="002C2FA1" w:rsidP="0017565B">
      <w:pPr>
        <w:numPr>
          <w:ilvl w:val="0"/>
          <w:numId w:val="1"/>
        </w:numPr>
        <w:overflowPunct/>
        <w:autoSpaceDE/>
        <w:autoSpaceDN/>
        <w:adjustRightInd/>
        <w:spacing w:after="160" w:line="259" w:lineRule="auto"/>
        <w:textAlignment w:val="auto"/>
        <w:rPr>
          <w:rFonts w:cstheme="minorHAnsi"/>
        </w:rPr>
      </w:pPr>
      <w:bookmarkStart w:id="20" w:name="_Ref492660057"/>
      <w:r w:rsidRPr="002C2FA1">
        <w:rPr>
          <w:rFonts w:cstheme="minorHAnsi"/>
        </w:rPr>
        <w:t>R1-1713380</w:t>
      </w:r>
      <w:r>
        <w:rPr>
          <w:rFonts w:cstheme="minorHAnsi"/>
        </w:rPr>
        <w:t>, “</w:t>
      </w:r>
      <w:r w:rsidRPr="002C2FA1">
        <w:rPr>
          <w:rFonts w:cstheme="minorHAnsi"/>
        </w:rPr>
        <w:t>PRACH Preamble Design for Capacity Enhancement</w:t>
      </w:r>
      <w:r>
        <w:rPr>
          <w:rFonts w:cstheme="minorHAnsi"/>
        </w:rPr>
        <w:t xml:space="preserve">”, Qualcomm, </w:t>
      </w:r>
      <w:r w:rsidR="0017565B">
        <w:rPr>
          <w:rFonts w:cstheme="minorHAnsi"/>
        </w:rPr>
        <w:t>Prague, Czech Republic, August 2017.</w:t>
      </w:r>
      <w:bookmarkEnd w:id="20"/>
    </w:p>
    <w:p w14:paraId="5CC58265" w14:textId="7511A88F" w:rsidR="00C6691A" w:rsidRDefault="00C6691A" w:rsidP="00C6691A">
      <w:pPr>
        <w:numPr>
          <w:ilvl w:val="0"/>
          <w:numId w:val="1"/>
        </w:numPr>
        <w:overflowPunct/>
        <w:autoSpaceDE/>
        <w:autoSpaceDN/>
        <w:adjustRightInd/>
        <w:spacing w:after="160" w:line="259" w:lineRule="auto"/>
        <w:textAlignment w:val="auto"/>
        <w:rPr>
          <w:rFonts w:cstheme="minorHAnsi"/>
        </w:rPr>
      </w:pPr>
      <w:bookmarkStart w:id="21" w:name="_Ref492660085"/>
      <w:r w:rsidRPr="00C6691A">
        <w:rPr>
          <w:rFonts w:cstheme="minorHAnsi"/>
        </w:rPr>
        <w:t>R1-1713129</w:t>
      </w:r>
      <w:r>
        <w:rPr>
          <w:rFonts w:cstheme="minorHAnsi"/>
        </w:rPr>
        <w:t>, “</w:t>
      </w:r>
      <w:r w:rsidRPr="00C6691A">
        <w:rPr>
          <w:rFonts w:cstheme="minorHAnsi"/>
        </w:rPr>
        <w:t>Discussion on PRACH preamble for capacity enhancement</w:t>
      </w:r>
      <w:r>
        <w:rPr>
          <w:rFonts w:cstheme="minorHAnsi"/>
        </w:rPr>
        <w:t xml:space="preserve">”, LG Electronics, </w:t>
      </w:r>
      <w:bookmarkStart w:id="22" w:name="_Hlk492660659"/>
      <w:r>
        <w:rPr>
          <w:rFonts w:cstheme="minorHAnsi"/>
        </w:rPr>
        <w:t>Pra</w:t>
      </w:r>
      <w:r w:rsidR="0017565B">
        <w:rPr>
          <w:rFonts w:cstheme="minorHAnsi"/>
        </w:rPr>
        <w:t>gue, Czech Republic, August 2017</w:t>
      </w:r>
      <w:r>
        <w:rPr>
          <w:rFonts w:cstheme="minorHAnsi"/>
        </w:rPr>
        <w:t>.</w:t>
      </w:r>
      <w:bookmarkEnd w:id="21"/>
    </w:p>
    <w:p w14:paraId="77CA8428" w14:textId="77777777" w:rsidR="00402F2A" w:rsidRDefault="00CE4814" w:rsidP="00402F2A">
      <w:pPr>
        <w:numPr>
          <w:ilvl w:val="0"/>
          <w:numId w:val="1"/>
        </w:numPr>
        <w:overflowPunct/>
        <w:autoSpaceDE/>
        <w:autoSpaceDN/>
        <w:adjustRightInd/>
        <w:spacing w:after="160" w:line="259" w:lineRule="auto"/>
        <w:textAlignment w:val="auto"/>
        <w:rPr>
          <w:rFonts w:cstheme="minorHAnsi"/>
        </w:rPr>
      </w:pPr>
      <w:bookmarkStart w:id="23" w:name="_Ref492661025"/>
      <w:bookmarkEnd w:id="22"/>
      <w:r w:rsidRPr="00CE4814">
        <w:rPr>
          <w:rFonts w:cstheme="minorHAnsi"/>
        </w:rPr>
        <w:t>R1-1713340</w:t>
      </w:r>
      <w:r>
        <w:rPr>
          <w:rFonts w:cstheme="minorHAnsi"/>
        </w:rPr>
        <w:t>, “</w:t>
      </w:r>
      <w:r w:rsidR="00402F2A" w:rsidRPr="00402F2A">
        <w:rPr>
          <w:rFonts w:cstheme="minorHAnsi"/>
        </w:rPr>
        <w:t>PRACH preamble format details for capacity enhancement and beam management</w:t>
      </w:r>
      <w:r w:rsidR="00402F2A">
        <w:rPr>
          <w:rFonts w:cstheme="minorHAnsi"/>
        </w:rPr>
        <w:t xml:space="preserve">”, </w:t>
      </w:r>
      <w:r w:rsidR="00402F2A" w:rsidRPr="00402F2A">
        <w:rPr>
          <w:rFonts w:cstheme="minorHAnsi"/>
        </w:rPr>
        <w:t>Nokia, Nokia Shanghai Bell</w:t>
      </w:r>
      <w:r w:rsidR="00402F2A">
        <w:rPr>
          <w:rFonts w:cstheme="minorHAnsi"/>
        </w:rPr>
        <w:t>, Prague, Czech Republic, August 2017.</w:t>
      </w:r>
      <w:bookmarkEnd w:id="23"/>
    </w:p>
    <w:p w14:paraId="54793EFB" w14:textId="77777777" w:rsidR="00402F2A" w:rsidRDefault="00402F2A" w:rsidP="00402F2A">
      <w:pPr>
        <w:numPr>
          <w:ilvl w:val="0"/>
          <w:numId w:val="1"/>
        </w:numPr>
        <w:overflowPunct/>
        <w:autoSpaceDE/>
        <w:autoSpaceDN/>
        <w:adjustRightInd/>
        <w:spacing w:after="160" w:line="259" w:lineRule="auto"/>
        <w:textAlignment w:val="auto"/>
        <w:rPr>
          <w:rFonts w:cstheme="minorHAnsi"/>
        </w:rPr>
      </w:pPr>
      <w:bookmarkStart w:id="24" w:name="_Ref492661028"/>
      <w:r w:rsidRPr="00402F2A">
        <w:rPr>
          <w:rFonts w:cstheme="minorHAnsi"/>
        </w:rPr>
        <w:t>R1-1712152</w:t>
      </w:r>
      <w:r>
        <w:rPr>
          <w:rFonts w:cstheme="minorHAnsi"/>
        </w:rPr>
        <w:t>, “</w:t>
      </w:r>
      <w:r w:rsidRPr="00402F2A">
        <w:rPr>
          <w:rFonts w:cstheme="minorHAnsi"/>
        </w:rPr>
        <w:t>PRACH preamble sequences and formats for capacity enhancement and beam management</w:t>
      </w:r>
      <w:r>
        <w:rPr>
          <w:rFonts w:cstheme="minorHAnsi"/>
        </w:rPr>
        <w:t xml:space="preserve">”, </w:t>
      </w:r>
      <w:r w:rsidRPr="00402F2A">
        <w:rPr>
          <w:rFonts w:cstheme="minorHAnsi"/>
        </w:rPr>
        <w:t>Huawei, HiSilicon</w:t>
      </w:r>
      <w:r>
        <w:rPr>
          <w:rFonts w:cstheme="minorHAnsi"/>
        </w:rPr>
        <w:t>, Prague, Czech Republic, August 2017.</w:t>
      </w:r>
      <w:bookmarkEnd w:id="24"/>
    </w:p>
    <w:p w14:paraId="417C5D47" w14:textId="31CF193A" w:rsidR="00CE4814" w:rsidRDefault="00CA2DB2" w:rsidP="00CA2DB2">
      <w:pPr>
        <w:numPr>
          <w:ilvl w:val="0"/>
          <w:numId w:val="1"/>
        </w:numPr>
        <w:overflowPunct/>
        <w:autoSpaceDE/>
        <w:autoSpaceDN/>
        <w:adjustRightInd/>
        <w:spacing w:after="160" w:line="259" w:lineRule="auto"/>
        <w:textAlignment w:val="auto"/>
        <w:rPr>
          <w:rFonts w:cstheme="minorHAnsi"/>
        </w:rPr>
      </w:pPr>
      <w:bookmarkStart w:id="25" w:name="_Ref492661031"/>
      <w:r w:rsidRPr="00CA2DB2">
        <w:rPr>
          <w:rFonts w:cstheme="minorHAnsi"/>
        </w:rPr>
        <w:t>R1-1712357</w:t>
      </w:r>
      <w:r>
        <w:rPr>
          <w:rFonts w:cstheme="minorHAnsi"/>
        </w:rPr>
        <w:t>, “</w:t>
      </w:r>
      <w:r w:rsidRPr="00CA2DB2">
        <w:rPr>
          <w:rFonts w:cstheme="minorHAnsi"/>
        </w:rPr>
        <w:t>NR RACH Preamble Format for capacity enhancement</w:t>
      </w:r>
      <w:r>
        <w:rPr>
          <w:rFonts w:cstheme="minorHAnsi"/>
        </w:rPr>
        <w:t xml:space="preserve">”, CATT, </w:t>
      </w:r>
      <w:r w:rsidRPr="00402F2A">
        <w:rPr>
          <w:rFonts w:cstheme="minorHAnsi"/>
        </w:rPr>
        <w:t>Huawei, HiSilicon</w:t>
      </w:r>
      <w:r>
        <w:rPr>
          <w:rFonts w:cstheme="minorHAnsi"/>
        </w:rPr>
        <w:t>, Prague, Czech Republic, August 2017.</w:t>
      </w:r>
      <w:bookmarkEnd w:id="25"/>
    </w:p>
    <w:p w14:paraId="710783CF" w14:textId="1B56C67D" w:rsidR="00CA2DB2" w:rsidRPr="00CA2DB2" w:rsidRDefault="00CA2DB2" w:rsidP="00CA2DB2">
      <w:pPr>
        <w:numPr>
          <w:ilvl w:val="0"/>
          <w:numId w:val="1"/>
        </w:numPr>
        <w:overflowPunct/>
        <w:autoSpaceDE/>
        <w:autoSpaceDN/>
        <w:adjustRightInd/>
        <w:spacing w:after="160" w:line="259" w:lineRule="auto"/>
        <w:textAlignment w:val="auto"/>
        <w:rPr>
          <w:rFonts w:cstheme="minorHAnsi"/>
        </w:rPr>
      </w:pPr>
      <w:bookmarkStart w:id="26" w:name="_Ref490140424"/>
      <w:r>
        <w:rPr>
          <w:rFonts w:cstheme="minorHAnsi"/>
        </w:rPr>
        <w:t>R1-1711569, “</w:t>
      </w:r>
      <w:r w:rsidRPr="00CE56EA">
        <w:rPr>
          <w:rFonts w:cstheme="minorHAnsi"/>
        </w:rPr>
        <w:t>PRACH design suitable to beam-sweeps and Increasing Capacity</w:t>
      </w:r>
      <w:r>
        <w:rPr>
          <w:rFonts w:cstheme="minorHAnsi"/>
        </w:rPr>
        <w:t>”, TCL, Qingdao, China, June 2017.</w:t>
      </w:r>
      <w:bookmarkEnd w:id="26"/>
    </w:p>
    <w:p w14:paraId="4F505F77" w14:textId="596B3D9B" w:rsidR="000649B6" w:rsidRDefault="000649B6" w:rsidP="000649B6">
      <w:pPr>
        <w:rPr>
          <w:sz w:val="18"/>
          <w:lang w:eastAsia="zh-CN"/>
        </w:rPr>
      </w:pPr>
    </w:p>
    <w:sectPr w:rsidR="000649B6"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F82A41" w14:textId="77777777" w:rsidR="008A350A" w:rsidRDefault="008A350A">
      <w:r>
        <w:separator/>
      </w:r>
    </w:p>
  </w:endnote>
  <w:endnote w:type="continuationSeparator" w:id="0">
    <w:p w14:paraId="021F4E40" w14:textId="77777777" w:rsidR="008A350A" w:rsidRDefault="008A35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Ericsson Capital TT">
    <w:altName w:val="Corbel"/>
    <w:charset w:val="00"/>
    <w:family w:val="auto"/>
    <w:pitch w:val="variable"/>
    <w:sig w:usb0="00000001" w:usb1="4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C6DFB1" w14:textId="77777777" w:rsidR="008A350A" w:rsidRDefault="008A350A">
      <w:r>
        <w:separator/>
      </w:r>
    </w:p>
  </w:footnote>
  <w:footnote w:type="continuationSeparator" w:id="0">
    <w:p w14:paraId="4D52B293" w14:textId="77777777" w:rsidR="008A350A" w:rsidRDefault="008A35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B74AD"/>
    <w:multiLevelType w:val="hybridMultilevel"/>
    <w:tmpl w:val="E9A2A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9955E2"/>
    <w:multiLevelType w:val="hybridMultilevel"/>
    <w:tmpl w:val="2280E9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E06E7A"/>
    <w:multiLevelType w:val="hybridMultilevel"/>
    <w:tmpl w:val="1A9C2F20"/>
    <w:lvl w:ilvl="0" w:tplc="567680CC">
      <w:start w:val="1"/>
      <w:numFmt w:val="bullet"/>
      <w:lvlText w:val="•"/>
      <w:lvlJc w:val="left"/>
      <w:pPr>
        <w:tabs>
          <w:tab w:val="num" w:pos="360"/>
        </w:tabs>
        <w:ind w:left="360" w:hanging="360"/>
      </w:pPr>
      <w:rPr>
        <w:rFonts w:ascii="Arial" w:hAnsi="Arial" w:hint="default"/>
      </w:rPr>
    </w:lvl>
    <w:lvl w:ilvl="1" w:tplc="766EE5EE">
      <w:start w:val="2077"/>
      <w:numFmt w:val="bullet"/>
      <w:lvlText w:val="•"/>
      <w:lvlJc w:val="left"/>
      <w:pPr>
        <w:tabs>
          <w:tab w:val="num" w:pos="1080"/>
        </w:tabs>
        <w:ind w:left="1080" w:hanging="360"/>
      </w:pPr>
      <w:rPr>
        <w:rFonts w:ascii="Arial" w:hAnsi="Arial" w:hint="default"/>
      </w:rPr>
    </w:lvl>
    <w:lvl w:ilvl="2" w:tplc="637C03C6" w:tentative="1">
      <w:start w:val="1"/>
      <w:numFmt w:val="bullet"/>
      <w:lvlText w:val="•"/>
      <w:lvlJc w:val="left"/>
      <w:pPr>
        <w:tabs>
          <w:tab w:val="num" w:pos="1800"/>
        </w:tabs>
        <w:ind w:left="1800" w:hanging="360"/>
      </w:pPr>
      <w:rPr>
        <w:rFonts w:ascii="Arial" w:hAnsi="Arial" w:hint="default"/>
      </w:rPr>
    </w:lvl>
    <w:lvl w:ilvl="3" w:tplc="1D7208EA" w:tentative="1">
      <w:start w:val="1"/>
      <w:numFmt w:val="bullet"/>
      <w:lvlText w:val="•"/>
      <w:lvlJc w:val="left"/>
      <w:pPr>
        <w:tabs>
          <w:tab w:val="num" w:pos="2520"/>
        </w:tabs>
        <w:ind w:left="2520" w:hanging="360"/>
      </w:pPr>
      <w:rPr>
        <w:rFonts w:ascii="Arial" w:hAnsi="Arial" w:hint="default"/>
      </w:rPr>
    </w:lvl>
    <w:lvl w:ilvl="4" w:tplc="513E221E" w:tentative="1">
      <w:start w:val="1"/>
      <w:numFmt w:val="bullet"/>
      <w:lvlText w:val="•"/>
      <w:lvlJc w:val="left"/>
      <w:pPr>
        <w:tabs>
          <w:tab w:val="num" w:pos="3240"/>
        </w:tabs>
        <w:ind w:left="3240" w:hanging="360"/>
      </w:pPr>
      <w:rPr>
        <w:rFonts w:ascii="Arial" w:hAnsi="Arial" w:hint="default"/>
      </w:rPr>
    </w:lvl>
    <w:lvl w:ilvl="5" w:tplc="4D041F42" w:tentative="1">
      <w:start w:val="1"/>
      <w:numFmt w:val="bullet"/>
      <w:lvlText w:val="•"/>
      <w:lvlJc w:val="left"/>
      <w:pPr>
        <w:tabs>
          <w:tab w:val="num" w:pos="3960"/>
        </w:tabs>
        <w:ind w:left="3960" w:hanging="360"/>
      </w:pPr>
      <w:rPr>
        <w:rFonts w:ascii="Arial" w:hAnsi="Arial" w:hint="default"/>
      </w:rPr>
    </w:lvl>
    <w:lvl w:ilvl="6" w:tplc="93AA5CF6" w:tentative="1">
      <w:start w:val="1"/>
      <w:numFmt w:val="bullet"/>
      <w:lvlText w:val="•"/>
      <w:lvlJc w:val="left"/>
      <w:pPr>
        <w:tabs>
          <w:tab w:val="num" w:pos="4680"/>
        </w:tabs>
        <w:ind w:left="4680" w:hanging="360"/>
      </w:pPr>
      <w:rPr>
        <w:rFonts w:ascii="Arial" w:hAnsi="Arial" w:hint="default"/>
      </w:rPr>
    </w:lvl>
    <w:lvl w:ilvl="7" w:tplc="DFDCA14A" w:tentative="1">
      <w:start w:val="1"/>
      <w:numFmt w:val="bullet"/>
      <w:lvlText w:val="•"/>
      <w:lvlJc w:val="left"/>
      <w:pPr>
        <w:tabs>
          <w:tab w:val="num" w:pos="5400"/>
        </w:tabs>
        <w:ind w:left="5400" w:hanging="360"/>
      </w:pPr>
      <w:rPr>
        <w:rFonts w:ascii="Arial" w:hAnsi="Arial" w:hint="default"/>
      </w:rPr>
    </w:lvl>
    <w:lvl w:ilvl="8" w:tplc="2A6CF540"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6D128CB"/>
    <w:multiLevelType w:val="hybridMultilevel"/>
    <w:tmpl w:val="4502B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B01B6D"/>
    <w:multiLevelType w:val="hybridMultilevel"/>
    <w:tmpl w:val="77B6FA8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0D135072"/>
    <w:multiLevelType w:val="hybridMultilevel"/>
    <w:tmpl w:val="AAF63138"/>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08B64EF"/>
    <w:multiLevelType w:val="hybridMultilevel"/>
    <w:tmpl w:val="BC46790E"/>
    <w:lvl w:ilvl="0" w:tplc="A0846D4E">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1E5440E"/>
    <w:multiLevelType w:val="hybridMultilevel"/>
    <w:tmpl w:val="770EF2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5E26FE"/>
    <w:multiLevelType w:val="hybridMultilevel"/>
    <w:tmpl w:val="1ED65F16"/>
    <w:lvl w:ilvl="0" w:tplc="53C41DB4">
      <w:start w:val="1"/>
      <w:numFmt w:val="bullet"/>
      <w:lvlText w:val="•"/>
      <w:lvlJc w:val="left"/>
      <w:pPr>
        <w:tabs>
          <w:tab w:val="num" w:pos="720"/>
        </w:tabs>
        <w:ind w:left="720" w:hanging="360"/>
      </w:pPr>
      <w:rPr>
        <w:rFonts w:ascii="Arial" w:hAnsi="Arial" w:cs="Times New Roman" w:hint="default"/>
      </w:rPr>
    </w:lvl>
    <w:lvl w:ilvl="1" w:tplc="C3EA90F8">
      <w:start w:val="52"/>
      <w:numFmt w:val="bullet"/>
      <w:lvlText w:val=""/>
      <w:lvlJc w:val="left"/>
      <w:pPr>
        <w:tabs>
          <w:tab w:val="num" w:pos="1440"/>
        </w:tabs>
        <w:ind w:left="1440" w:hanging="360"/>
      </w:pPr>
      <w:rPr>
        <w:rFonts w:ascii="Wingdings" w:hAnsi="Wingdings" w:hint="default"/>
      </w:rPr>
    </w:lvl>
    <w:lvl w:ilvl="2" w:tplc="F33A9952">
      <w:start w:val="1"/>
      <w:numFmt w:val="bullet"/>
      <w:lvlText w:val="•"/>
      <w:lvlJc w:val="left"/>
      <w:pPr>
        <w:tabs>
          <w:tab w:val="num" w:pos="2160"/>
        </w:tabs>
        <w:ind w:left="2160" w:hanging="360"/>
      </w:pPr>
      <w:rPr>
        <w:rFonts w:ascii="Arial" w:hAnsi="Arial" w:cs="Times New Roman" w:hint="default"/>
      </w:rPr>
    </w:lvl>
    <w:lvl w:ilvl="3" w:tplc="6E1487E8">
      <w:start w:val="1"/>
      <w:numFmt w:val="bullet"/>
      <w:lvlText w:val="•"/>
      <w:lvlJc w:val="left"/>
      <w:pPr>
        <w:tabs>
          <w:tab w:val="num" w:pos="2880"/>
        </w:tabs>
        <w:ind w:left="2880" w:hanging="360"/>
      </w:pPr>
      <w:rPr>
        <w:rFonts w:ascii="Arial" w:hAnsi="Arial" w:cs="Times New Roman" w:hint="default"/>
      </w:rPr>
    </w:lvl>
    <w:lvl w:ilvl="4" w:tplc="575CBF48">
      <w:start w:val="1"/>
      <w:numFmt w:val="bullet"/>
      <w:lvlText w:val="•"/>
      <w:lvlJc w:val="left"/>
      <w:pPr>
        <w:tabs>
          <w:tab w:val="num" w:pos="3600"/>
        </w:tabs>
        <w:ind w:left="3600" w:hanging="360"/>
      </w:pPr>
      <w:rPr>
        <w:rFonts w:ascii="Arial" w:hAnsi="Arial" w:cs="Times New Roman" w:hint="default"/>
      </w:rPr>
    </w:lvl>
    <w:lvl w:ilvl="5" w:tplc="BCC8FA8E">
      <w:start w:val="1"/>
      <w:numFmt w:val="bullet"/>
      <w:lvlText w:val="•"/>
      <w:lvlJc w:val="left"/>
      <w:pPr>
        <w:tabs>
          <w:tab w:val="num" w:pos="4320"/>
        </w:tabs>
        <w:ind w:left="4320" w:hanging="360"/>
      </w:pPr>
      <w:rPr>
        <w:rFonts w:ascii="Arial" w:hAnsi="Arial" w:cs="Times New Roman" w:hint="default"/>
      </w:rPr>
    </w:lvl>
    <w:lvl w:ilvl="6" w:tplc="C72C9CEC">
      <w:start w:val="1"/>
      <w:numFmt w:val="bullet"/>
      <w:lvlText w:val="•"/>
      <w:lvlJc w:val="left"/>
      <w:pPr>
        <w:tabs>
          <w:tab w:val="num" w:pos="5040"/>
        </w:tabs>
        <w:ind w:left="5040" w:hanging="360"/>
      </w:pPr>
      <w:rPr>
        <w:rFonts w:ascii="Arial" w:hAnsi="Arial" w:cs="Times New Roman" w:hint="default"/>
      </w:rPr>
    </w:lvl>
    <w:lvl w:ilvl="7" w:tplc="8E780E80">
      <w:start w:val="1"/>
      <w:numFmt w:val="bullet"/>
      <w:lvlText w:val="•"/>
      <w:lvlJc w:val="left"/>
      <w:pPr>
        <w:tabs>
          <w:tab w:val="num" w:pos="5760"/>
        </w:tabs>
        <w:ind w:left="5760" w:hanging="360"/>
      </w:pPr>
      <w:rPr>
        <w:rFonts w:ascii="Arial" w:hAnsi="Arial" w:cs="Times New Roman" w:hint="default"/>
      </w:rPr>
    </w:lvl>
    <w:lvl w:ilvl="8" w:tplc="B44C79F0">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18412378"/>
    <w:multiLevelType w:val="hybridMultilevel"/>
    <w:tmpl w:val="F9B4F4D8"/>
    <w:lvl w:ilvl="0" w:tplc="9A8679FA">
      <w:start w:val="1"/>
      <w:numFmt w:val="bullet"/>
      <w:lvlText w:val="›"/>
      <w:lvlJc w:val="left"/>
      <w:pPr>
        <w:tabs>
          <w:tab w:val="num" w:pos="720"/>
        </w:tabs>
        <w:ind w:left="720" w:hanging="360"/>
      </w:pPr>
      <w:rPr>
        <w:rFonts w:ascii="Arial" w:hAnsi="Arial" w:hint="default"/>
      </w:rPr>
    </w:lvl>
    <w:lvl w:ilvl="1" w:tplc="11B6D94C">
      <w:start w:val="1280"/>
      <w:numFmt w:val="bullet"/>
      <w:lvlText w:val="–"/>
      <w:lvlJc w:val="left"/>
      <w:pPr>
        <w:tabs>
          <w:tab w:val="num" w:pos="1440"/>
        </w:tabs>
        <w:ind w:left="1440" w:hanging="360"/>
      </w:pPr>
      <w:rPr>
        <w:rFonts w:ascii="Ericsson Capital TT" w:hAnsi="Ericsson Capital TT" w:hint="default"/>
      </w:rPr>
    </w:lvl>
    <w:lvl w:ilvl="2" w:tplc="C61C9922">
      <w:start w:val="1"/>
      <w:numFmt w:val="bullet"/>
      <w:lvlText w:val="›"/>
      <w:lvlJc w:val="left"/>
      <w:pPr>
        <w:tabs>
          <w:tab w:val="num" w:pos="2160"/>
        </w:tabs>
        <w:ind w:left="2160" w:hanging="360"/>
      </w:pPr>
      <w:rPr>
        <w:rFonts w:ascii="Arial" w:hAnsi="Arial" w:hint="default"/>
      </w:rPr>
    </w:lvl>
    <w:lvl w:ilvl="3" w:tplc="32066EBE" w:tentative="1">
      <w:start w:val="1"/>
      <w:numFmt w:val="bullet"/>
      <w:lvlText w:val="›"/>
      <w:lvlJc w:val="left"/>
      <w:pPr>
        <w:tabs>
          <w:tab w:val="num" w:pos="2880"/>
        </w:tabs>
        <w:ind w:left="2880" w:hanging="360"/>
      </w:pPr>
      <w:rPr>
        <w:rFonts w:ascii="Arial" w:hAnsi="Arial" w:hint="default"/>
      </w:rPr>
    </w:lvl>
    <w:lvl w:ilvl="4" w:tplc="DE1A06B2" w:tentative="1">
      <w:start w:val="1"/>
      <w:numFmt w:val="bullet"/>
      <w:lvlText w:val="›"/>
      <w:lvlJc w:val="left"/>
      <w:pPr>
        <w:tabs>
          <w:tab w:val="num" w:pos="3600"/>
        </w:tabs>
        <w:ind w:left="3600" w:hanging="360"/>
      </w:pPr>
      <w:rPr>
        <w:rFonts w:ascii="Arial" w:hAnsi="Arial" w:hint="default"/>
      </w:rPr>
    </w:lvl>
    <w:lvl w:ilvl="5" w:tplc="37028E92" w:tentative="1">
      <w:start w:val="1"/>
      <w:numFmt w:val="bullet"/>
      <w:lvlText w:val="›"/>
      <w:lvlJc w:val="left"/>
      <w:pPr>
        <w:tabs>
          <w:tab w:val="num" w:pos="4320"/>
        </w:tabs>
        <w:ind w:left="4320" w:hanging="360"/>
      </w:pPr>
      <w:rPr>
        <w:rFonts w:ascii="Arial" w:hAnsi="Arial" w:hint="default"/>
      </w:rPr>
    </w:lvl>
    <w:lvl w:ilvl="6" w:tplc="0C32602A" w:tentative="1">
      <w:start w:val="1"/>
      <w:numFmt w:val="bullet"/>
      <w:lvlText w:val="›"/>
      <w:lvlJc w:val="left"/>
      <w:pPr>
        <w:tabs>
          <w:tab w:val="num" w:pos="5040"/>
        </w:tabs>
        <w:ind w:left="5040" w:hanging="360"/>
      </w:pPr>
      <w:rPr>
        <w:rFonts w:ascii="Arial" w:hAnsi="Arial" w:hint="default"/>
      </w:rPr>
    </w:lvl>
    <w:lvl w:ilvl="7" w:tplc="B8145C9C" w:tentative="1">
      <w:start w:val="1"/>
      <w:numFmt w:val="bullet"/>
      <w:lvlText w:val="›"/>
      <w:lvlJc w:val="left"/>
      <w:pPr>
        <w:tabs>
          <w:tab w:val="num" w:pos="5760"/>
        </w:tabs>
        <w:ind w:left="5760" w:hanging="360"/>
      </w:pPr>
      <w:rPr>
        <w:rFonts w:ascii="Arial" w:hAnsi="Arial" w:hint="default"/>
      </w:rPr>
    </w:lvl>
    <w:lvl w:ilvl="8" w:tplc="2B9A265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BBE7AC4"/>
    <w:multiLevelType w:val="hybridMultilevel"/>
    <w:tmpl w:val="273CAF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100AF1"/>
    <w:multiLevelType w:val="hybridMultilevel"/>
    <w:tmpl w:val="347850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5931BF"/>
    <w:multiLevelType w:val="hybridMultilevel"/>
    <w:tmpl w:val="4C5E2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BE35BF"/>
    <w:multiLevelType w:val="hybridMultilevel"/>
    <w:tmpl w:val="3D4273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9807B6"/>
    <w:multiLevelType w:val="hybridMultilevel"/>
    <w:tmpl w:val="22A6B4DA"/>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30764E82"/>
    <w:multiLevelType w:val="hybridMultilevel"/>
    <w:tmpl w:val="5DF4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68407C"/>
    <w:multiLevelType w:val="hybridMultilevel"/>
    <w:tmpl w:val="93744A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5C21157"/>
    <w:multiLevelType w:val="hybridMultilevel"/>
    <w:tmpl w:val="275EA9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36D675F3"/>
    <w:multiLevelType w:val="hybridMultilevel"/>
    <w:tmpl w:val="7A268E8E"/>
    <w:lvl w:ilvl="0" w:tplc="744AACDA">
      <w:start w:val="1"/>
      <w:numFmt w:val="bullet"/>
      <w:lvlText w:val="•"/>
      <w:lvlJc w:val="left"/>
      <w:pPr>
        <w:tabs>
          <w:tab w:val="num" w:pos="720"/>
        </w:tabs>
        <w:ind w:left="720" w:hanging="360"/>
      </w:pPr>
      <w:rPr>
        <w:rFonts w:ascii="Arial" w:hAnsi="Arial" w:hint="default"/>
      </w:rPr>
    </w:lvl>
    <w:lvl w:ilvl="1" w:tplc="CD386374">
      <w:start w:val="2695"/>
      <w:numFmt w:val="bullet"/>
      <w:lvlText w:val="–"/>
      <w:lvlJc w:val="left"/>
      <w:pPr>
        <w:tabs>
          <w:tab w:val="num" w:pos="1440"/>
        </w:tabs>
        <w:ind w:left="1440" w:hanging="360"/>
      </w:pPr>
      <w:rPr>
        <w:rFonts w:ascii="Arial" w:hAnsi="Arial" w:hint="default"/>
      </w:rPr>
    </w:lvl>
    <w:lvl w:ilvl="2" w:tplc="E2047626" w:tentative="1">
      <w:start w:val="1"/>
      <w:numFmt w:val="bullet"/>
      <w:lvlText w:val="•"/>
      <w:lvlJc w:val="left"/>
      <w:pPr>
        <w:tabs>
          <w:tab w:val="num" w:pos="2160"/>
        </w:tabs>
        <w:ind w:left="2160" w:hanging="360"/>
      </w:pPr>
      <w:rPr>
        <w:rFonts w:ascii="Arial" w:hAnsi="Arial" w:hint="default"/>
      </w:rPr>
    </w:lvl>
    <w:lvl w:ilvl="3" w:tplc="1E7E1964" w:tentative="1">
      <w:start w:val="1"/>
      <w:numFmt w:val="bullet"/>
      <w:lvlText w:val="•"/>
      <w:lvlJc w:val="left"/>
      <w:pPr>
        <w:tabs>
          <w:tab w:val="num" w:pos="2880"/>
        </w:tabs>
        <w:ind w:left="2880" w:hanging="360"/>
      </w:pPr>
      <w:rPr>
        <w:rFonts w:ascii="Arial" w:hAnsi="Arial" w:hint="default"/>
      </w:rPr>
    </w:lvl>
    <w:lvl w:ilvl="4" w:tplc="5576234E" w:tentative="1">
      <w:start w:val="1"/>
      <w:numFmt w:val="bullet"/>
      <w:lvlText w:val="•"/>
      <w:lvlJc w:val="left"/>
      <w:pPr>
        <w:tabs>
          <w:tab w:val="num" w:pos="3600"/>
        </w:tabs>
        <w:ind w:left="3600" w:hanging="360"/>
      </w:pPr>
      <w:rPr>
        <w:rFonts w:ascii="Arial" w:hAnsi="Arial" w:hint="default"/>
      </w:rPr>
    </w:lvl>
    <w:lvl w:ilvl="5" w:tplc="CD6C602A" w:tentative="1">
      <w:start w:val="1"/>
      <w:numFmt w:val="bullet"/>
      <w:lvlText w:val="•"/>
      <w:lvlJc w:val="left"/>
      <w:pPr>
        <w:tabs>
          <w:tab w:val="num" w:pos="4320"/>
        </w:tabs>
        <w:ind w:left="4320" w:hanging="360"/>
      </w:pPr>
      <w:rPr>
        <w:rFonts w:ascii="Arial" w:hAnsi="Arial" w:hint="default"/>
      </w:rPr>
    </w:lvl>
    <w:lvl w:ilvl="6" w:tplc="7E70FDD2" w:tentative="1">
      <w:start w:val="1"/>
      <w:numFmt w:val="bullet"/>
      <w:lvlText w:val="•"/>
      <w:lvlJc w:val="left"/>
      <w:pPr>
        <w:tabs>
          <w:tab w:val="num" w:pos="5040"/>
        </w:tabs>
        <w:ind w:left="5040" w:hanging="360"/>
      </w:pPr>
      <w:rPr>
        <w:rFonts w:ascii="Arial" w:hAnsi="Arial" w:hint="default"/>
      </w:rPr>
    </w:lvl>
    <w:lvl w:ilvl="7" w:tplc="17E8A84E" w:tentative="1">
      <w:start w:val="1"/>
      <w:numFmt w:val="bullet"/>
      <w:lvlText w:val="•"/>
      <w:lvlJc w:val="left"/>
      <w:pPr>
        <w:tabs>
          <w:tab w:val="num" w:pos="5760"/>
        </w:tabs>
        <w:ind w:left="5760" w:hanging="360"/>
      </w:pPr>
      <w:rPr>
        <w:rFonts w:ascii="Arial" w:hAnsi="Arial" w:hint="default"/>
      </w:rPr>
    </w:lvl>
    <w:lvl w:ilvl="8" w:tplc="57E6AA8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77C3E87"/>
    <w:multiLevelType w:val="hybridMultilevel"/>
    <w:tmpl w:val="E0EC816E"/>
    <w:lvl w:ilvl="0" w:tplc="D8F0F2EE">
      <w:start w:val="1"/>
      <w:numFmt w:val="bullet"/>
      <w:lvlText w:val="•"/>
      <w:lvlJc w:val="left"/>
      <w:pPr>
        <w:tabs>
          <w:tab w:val="num" w:pos="720"/>
        </w:tabs>
        <w:ind w:left="720" w:hanging="360"/>
      </w:pPr>
      <w:rPr>
        <w:rFonts w:ascii="Arial" w:hAnsi="Arial" w:hint="default"/>
      </w:rPr>
    </w:lvl>
    <w:lvl w:ilvl="1" w:tplc="327ACB9C">
      <w:start w:val="1375"/>
      <w:numFmt w:val="bullet"/>
      <w:lvlText w:val="–"/>
      <w:lvlJc w:val="left"/>
      <w:pPr>
        <w:tabs>
          <w:tab w:val="num" w:pos="1440"/>
        </w:tabs>
        <w:ind w:left="1440" w:hanging="360"/>
      </w:pPr>
      <w:rPr>
        <w:rFonts w:ascii="Arial" w:hAnsi="Arial" w:hint="default"/>
      </w:rPr>
    </w:lvl>
    <w:lvl w:ilvl="2" w:tplc="D11CD818">
      <w:start w:val="1375"/>
      <w:numFmt w:val="bullet"/>
      <w:lvlText w:val="•"/>
      <w:lvlJc w:val="left"/>
      <w:pPr>
        <w:tabs>
          <w:tab w:val="num" w:pos="2160"/>
        </w:tabs>
        <w:ind w:left="2160" w:hanging="360"/>
      </w:pPr>
      <w:rPr>
        <w:rFonts w:ascii="Arial" w:hAnsi="Arial" w:hint="default"/>
      </w:rPr>
    </w:lvl>
    <w:lvl w:ilvl="3" w:tplc="CD98D93C" w:tentative="1">
      <w:start w:val="1"/>
      <w:numFmt w:val="bullet"/>
      <w:lvlText w:val="•"/>
      <w:lvlJc w:val="left"/>
      <w:pPr>
        <w:tabs>
          <w:tab w:val="num" w:pos="2880"/>
        </w:tabs>
        <w:ind w:left="2880" w:hanging="360"/>
      </w:pPr>
      <w:rPr>
        <w:rFonts w:ascii="Arial" w:hAnsi="Arial" w:hint="default"/>
      </w:rPr>
    </w:lvl>
    <w:lvl w:ilvl="4" w:tplc="71CE55D0" w:tentative="1">
      <w:start w:val="1"/>
      <w:numFmt w:val="bullet"/>
      <w:lvlText w:val="•"/>
      <w:lvlJc w:val="left"/>
      <w:pPr>
        <w:tabs>
          <w:tab w:val="num" w:pos="3600"/>
        </w:tabs>
        <w:ind w:left="3600" w:hanging="360"/>
      </w:pPr>
      <w:rPr>
        <w:rFonts w:ascii="Arial" w:hAnsi="Arial" w:hint="default"/>
      </w:rPr>
    </w:lvl>
    <w:lvl w:ilvl="5" w:tplc="74F8C71C" w:tentative="1">
      <w:start w:val="1"/>
      <w:numFmt w:val="bullet"/>
      <w:lvlText w:val="•"/>
      <w:lvlJc w:val="left"/>
      <w:pPr>
        <w:tabs>
          <w:tab w:val="num" w:pos="4320"/>
        </w:tabs>
        <w:ind w:left="4320" w:hanging="360"/>
      </w:pPr>
      <w:rPr>
        <w:rFonts w:ascii="Arial" w:hAnsi="Arial" w:hint="default"/>
      </w:rPr>
    </w:lvl>
    <w:lvl w:ilvl="6" w:tplc="03BA4B98" w:tentative="1">
      <w:start w:val="1"/>
      <w:numFmt w:val="bullet"/>
      <w:lvlText w:val="•"/>
      <w:lvlJc w:val="left"/>
      <w:pPr>
        <w:tabs>
          <w:tab w:val="num" w:pos="5040"/>
        </w:tabs>
        <w:ind w:left="5040" w:hanging="360"/>
      </w:pPr>
      <w:rPr>
        <w:rFonts w:ascii="Arial" w:hAnsi="Arial" w:hint="default"/>
      </w:rPr>
    </w:lvl>
    <w:lvl w:ilvl="7" w:tplc="8874461C" w:tentative="1">
      <w:start w:val="1"/>
      <w:numFmt w:val="bullet"/>
      <w:lvlText w:val="•"/>
      <w:lvlJc w:val="left"/>
      <w:pPr>
        <w:tabs>
          <w:tab w:val="num" w:pos="5760"/>
        </w:tabs>
        <w:ind w:left="5760" w:hanging="360"/>
      </w:pPr>
      <w:rPr>
        <w:rFonts w:ascii="Arial" w:hAnsi="Arial" w:hint="default"/>
      </w:rPr>
    </w:lvl>
    <w:lvl w:ilvl="8" w:tplc="F762FA3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9CE52F6"/>
    <w:multiLevelType w:val="hybridMultilevel"/>
    <w:tmpl w:val="A830A408"/>
    <w:lvl w:ilvl="0" w:tplc="49441C30">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72631C"/>
    <w:multiLevelType w:val="hybridMultilevel"/>
    <w:tmpl w:val="CD98CFA4"/>
    <w:lvl w:ilvl="0" w:tplc="7EA0607C">
      <w:start w:val="1"/>
      <w:numFmt w:val="bullet"/>
      <w:lvlText w:val="•"/>
      <w:lvlJc w:val="left"/>
      <w:pPr>
        <w:tabs>
          <w:tab w:val="num" w:pos="720"/>
        </w:tabs>
        <w:ind w:left="720" w:hanging="360"/>
      </w:pPr>
      <w:rPr>
        <w:rFonts w:ascii="Arial" w:hAnsi="Arial" w:cs="Times New Roman" w:hint="default"/>
      </w:rPr>
    </w:lvl>
    <w:lvl w:ilvl="1" w:tplc="140C7F4A">
      <w:start w:val="1"/>
      <w:numFmt w:val="bullet"/>
      <w:lvlText w:val="•"/>
      <w:lvlJc w:val="left"/>
      <w:pPr>
        <w:tabs>
          <w:tab w:val="num" w:pos="1440"/>
        </w:tabs>
        <w:ind w:left="1440" w:hanging="360"/>
      </w:pPr>
      <w:rPr>
        <w:rFonts w:ascii="Arial" w:hAnsi="Arial" w:cs="Times New Roman" w:hint="default"/>
      </w:rPr>
    </w:lvl>
    <w:lvl w:ilvl="2" w:tplc="AB1498EA">
      <w:start w:val="1"/>
      <w:numFmt w:val="bullet"/>
      <w:lvlText w:val="•"/>
      <w:lvlJc w:val="left"/>
      <w:pPr>
        <w:tabs>
          <w:tab w:val="num" w:pos="2160"/>
        </w:tabs>
        <w:ind w:left="2160" w:hanging="360"/>
      </w:pPr>
      <w:rPr>
        <w:rFonts w:ascii="Arial" w:hAnsi="Arial" w:cs="Times New Roman" w:hint="default"/>
      </w:rPr>
    </w:lvl>
    <w:lvl w:ilvl="3" w:tplc="B9F6C780">
      <w:start w:val="1"/>
      <w:numFmt w:val="bullet"/>
      <w:lvlText w:val="•"/>
      <w:lvlJc w:val="left"/>
      <w:pPr>
        <w:tabs>
          <w:tab w:val="num" w:pos="2880"/>
        </w:tabs>
        <w:ind w:left="2880" w:hanging="360"/>
      </w:pPr>
      <w:rPr>
        <w:rFonts w:ascii="Arial" w:hAnsi="Arial" w:cs="Times New Roman" w:hint="default"/>
      </w:rPr>
    </w:lvl>
    <w:lvl w:ilvl="4" w:tplc="329625F6">
      <w:start w:val="1"/>
      <w:numFmt w:val="bullet"/>
      <w:lvlText w:val="•"/>
      <w:lvlJc w:val="left"/>
      <w:pPr>
        <w:tabs>
          <w:tab w:val="num" w:pos="3600"/>
        </w:tabs>
        <w:ind w:left="3600" w:hanging="360"/>
      </w:pPr>
      <w:rPr>
        <w:rFonts w:ascii="Arial" w:hAnsi="Arial" w:cs="Times New Roman" w:hint="default"/>
      </w:rPr>
    </w:lvl>
    <w:lvl w:ilvl="5" w:tplc="AB345E7C">
      <w:start w:val="1"/>
      <w:numFmt w:val="bullet"/>
      <w:lvlText w:val="•"/>
      <w:lvlJc w:val="left"/>
      <w:pPr>
        <w:tabs>
          <w:tab w:val="num" w:pos="4320"/>
        </w:tabs>
        <w:ind w:left="4320" w:hanging="360"/>
      </w:pPr>
      <w:rPr>
        <w:rFonts w:ascii="Arial" w:hAnsi="Arial" w:cs="Times New Roman" w:hint="default"/>
      </w:rPr>
    </w:lvl>
    <w:lvl w:ilvl="6" w:tplc="4552DC48">
      <w:start w:val="1"/>
      <w:numFmt w:val="bullet"/>
      <w:lvlText w:val="•"/>
      <w:lvlJc w:val="left"/>
      <w:pPr>
        <w:tabs>
          <w:tab w:val="num" w:pos="5040"/>
        </w:tabs>
        <w:ind w:left="5040" w:hanging="360"/>
      </w:pPr>
      <w:rPr>
        <w:rFonts w:ascii="Arial" w:hAnsi="Arial" w:cs="Times New Roman" w:hint="default"/>
      </w:rPr>
    </w:lvl>
    <w:lvl w:ilvl="7" w:tplc="45E2714A">
      <w:start w:val="1"/>
      <w:numFmt w:val="bullet"/>
      <w:lvlText w:val="•"/>
      <w:lvlJc w:val="left"/>
      <w:pPr>
        <w:tabs>
          <w:tab w:val="num" w:pos="5760"/>
        </w:tabs>
        <w:ind w:left="5760" w:hanging="360"/>
      </w:pPr>
      <w:rPr>
        <w:rFonts w:ascii="Arial" w:hAnsi="Arial" w:cs="Times New Roman" w:hint="default"/>
      </w:rPr>
    </w:lvl>
    <w:lvl w:ilvl="8" w:tplc="B2D06398">
      <w:start w:val="1"/>
      <w:numFmt w:val="bullet"/>
      <w:lvlText w:val="•"/>
      <w:lvlJc w:val="left"/>
      <w:pPr>
        <w:tabs>
          <w:tab w:val="num" w:pos="6480"/>
        </w:tabs>
        <w:ind w:left="6480" w:hanging="360"/>
      </w:pPr>
      <w:rPr>
        <w:rFonts w:ascii="Arial" w:hAnsi="Arial" w:cs="Times New Roman" w:hint="default"/>
      </w:rPr>
    </w:lvl>
  </w:abstractNum>
  <w:abstractNum w:abstractNumId="23" w15:restartNumberingAfterBreak="0">
    <w:nsid w:val="3D6D4705"/>
    <w:multiLevelType w:val="hybridMultilevel"/>
    <w:tmpl w:val="BBA424D6"/>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4" w15:restartNumberingAfterBreak="0">
    <w:nsid w:val="40BF2914"/>
    <w:multiLevelType w:val="hybridMultilevel"/>
    <w:tmpl w:val="309E86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2AD2F05"/>
    <w:multiLevelType w:val="hybridMultilevel"/>
    <w:tmpl w:val="4198DB7C"/>
    <w:lvl w:ilvl="0" w:tplc="E0024872">
      <w:start w:val="1"/>
      <w:numFmt w:val="bullet"/>
      <w:lvlText w:val="•"/>
      <w:lvlJc w:val="left"/>
      <w:pPr>
        <w:tabs>
          <w:tab w:val="num" w:pos="720"/>
        </w:tabs>
        <w:ind w:left="720" w:hanging="360"/>
      </w:pPr>
      <w:rPr>
        <w:rFonts w:ascii="Arial" w:hAnsi="Arial" w:hint="default"/>
      </w:rPr>
    </w:lvl>
    <w:lvl w:ilvl="1" w:tplc="C01684CC">
      <w:start w:val="3109"/>
      <w:numFmt w:val="bullet"/>
      <w:lvlText w:val="–"/>
      <w:lvlJc w:val="left"/>
      <w:pPr>
        <w:tabs>
          <w:tab w:val="num" w:pos="1440"/>
        </w:tabs>
        <w:ind w:left="1440" w:hanging="360"/>
      </w:pPr>
      <w:rPr>
        <w:rFonts w:ascii="Arial" w:hAnsi="Arial" w:hint="default"/>
      </w:rPr>
    </w:lvl>
    <w:lvl w:ilvl="2" w:tplc="1312E1BA" w:tentative="1">
      <w:start w:val="1"/>
      <w:numFmt w:val="bullet"/>
      <w:lvlText w:val="•"/>
      <w:lvlJc w:val="left"/>
      <w:pPr>
        <w:tabs>
          <w:tab w:val="num" w:pos="2160"/>
        </w:tabs>
        <w:ind w:left="2160" w:hanging="360"/>
      </w:pPr>
      <w:rPr>
        <w:rFonts w:ascii="Arial" w:hAnsi="Arial" w:hint="default"/>
      </w:rPr>
    </w:lvl>
    <w:lvl w:ilvl="3" w:tplc="5FD4AEB2" w:tentative="1">
      <w:start w:val="1"/>
      <w:numFmt w:val="bullet"/>
      <w:lvlText w:val="•"/>
      <w:lvlJc w:val="left"/>
      <w:pPr>
        <w:tabs>
          <w:tab w:val="num" w:pos="2880"/>
        </w:tabs>
        <w:ind w:left="2880" w:hanging="360"/>
      </w:pPr>
      <w:rPr>
        <w:rFonts w:ascii="Arial" w:hAnsi="Arial" w:hint="default"/>
      </w:rPr>
    </w:lvl>
    <w:lvl w:ilvl="4" w:tplc="77A8D6D8" w:tentative="1">
      <w:start w:val="1"/>
      <w:numFmt w:val="bullet"/>
      <w:lvlText w:val="•"/>
      <w:lvlJc w:val="left"/>
      <w:pPr>
        <w:tabs>
          <w:tab w:val="num" w:pos="3600"/>
        </w:tabs>
        <w:ind w:left="3600" w:hanging="360"/>
      </w:pPr>
      <w:rPr>
        <w:rFonts w:ascii="Arial" w:hAnsi="Arial" w:hint="default"/>
      </w:rPr>
    </w:lvl>
    <w:lvl w:ilvl="5" w:tplc="C76628E0" w:tentative="1">
      <w:start w:val="1"/>
      <w:numFmt w:val="bullet"/>
      <w:lvlText w:val="•"/>
      <w:lvlJc w:val="left"/>
      <w:pPr>
        <w:tabs>
          <w:tab w:val="num" w:pos="4320"/>
        </w:tabs>
        <w:ind w:left="4320" w:hanging="360"/>
      </w:pPr>
      <w:rPr>
        <w:rFonts w:ascii="Arial" w:hAnsi="Arial" w:hint="default"/>
      </w:rPr>
    </w:lvl>
    <w:lvl w:ilvl="6" w:tplc="8E9ED77C" w:tentative="1">
      <w:start w:val="1"/>
      <w:numFmt w:val="bullet"/>
      <w:lvlText w:val="•"/>
      <w:lvlJc w:val="left"/>
      <w:pPr>
        <w:tabs>
          <w:tab w:val="num" w:pos="5040"/>
        </w:tabs>
        <w:ind w:left="5040" w:hanging="360"/>
      </w:pPr>
      <w:rPr>
        <w:rFonts w:ascii="Arial" w:hAnsi="Arial" w:hint="default"/>
      </w:rPr>
    </w:lvl>
    <w:lvl w:ilvl="7" w:tplc="63261E5E" w:tentative="1">
      <w:start w:val="1"/>
      <w:numFmt w:val="bullet"/>
      <w:lvlText w:val="•"/>
      <w:lvlJc w:val="left"/>
      <w:pPr>
        <w:tabs>
          <w:tab w:val="num" w:pos="5760"/>
        </w:tabs>
        <w:ind w:left="5760" w:hanging="360"/>
      </w:pPr>
      <w:rPr>
        <w:rFonts w:ascii="Arial" w:hAnsi="Arial" w:hint="default"/>
      </w:rPr>
    </w:lvl>
    <w:lvl w:ilvl="8" w:tplc="62FA80F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4856D65"/>
    <w:multiLevelType w:val="hybridMultilevel"/>
    <w:tmpl w:val="8974BC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5B90F10"/>
    <w:multiLevelType w:val="hybridMultilevel"/>
    <w:tmpl w:val="F7621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153726"/>
    <w:multiLevelType w:val="hybridMultilevel"/>
    <w:tmpl w:val="D4E86E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50D1380"/>
    <w:multiLevelType w:val="hybridMultilevel"/>
    <w:tmpl w:val="8B62C2F6"/>
    <w:lvl w:ilvl="0" w:tplc="D2F4609E">
      <w:start w:val="1"/>
      <w:numFmt w:val="bullet"/>
      <w:lvlText w:val="•"/>
      <w:lvlJc w:val="left"/>
      <w:pPr>
        <w:tabs>
          <w:tab w:val="num" w:pos="720"/>
        </w:tabs>
        <w:ind w:left="720" w:hanging="360"/>
      </w:pPr>
      <w:rPr>
        <w:rFonts w:ascii="Arial" w:hAnsi="Arial" w:hint="default"/>
      </w:rPr>
    </w:lvl>
    <w:lvl w:ilvl="1" w:tplc="1518C260">
      <w:start w:val="2714"/>
      <w:numFmt w:val="bullet"/>
      <w:lvlText w:val="–"/>
      <w:lvlJc w:val="left"/>
      <w:pPr>
        <w:tabs>
          <w:tab w:val="num" w:pos="1440"/>
        </w:tabs>
        <w:ind w:left="1440" w:hanging="360"/>
      </w:pPr>
      <w:rPr>
        <w:rFonts w:ascii="Arial" w:hAnsi="Arial" w:hint="default"/>
      </w:rPr>
    </w:lvl>
    <w:lvl w:ilvl="2" w:tplc="83060992">
      <w:start w:val="2714"/>
      <w:numFmt w:val="bullet"/>
      <w:lvlText w:val="•"/>
      <w:lvlJc w:val="left"/>
      <w:pPr>
        <w:tabs>
          <w:tab w:val="num" w:pos="2160"/>
        </w:tabs>
        <w:ind w:left="2160" w:hanging="360"/>
      </w:pPr>
      <w:rPr>
        <w:rFonts w:ascii="Arial" w:hAnsi="Arial" w:hint="default"/>
      </w:rPr>
    </w:lvl>
    <w:lvl w:ilvl="3" w:tplc="6B3EAEA0" w:tentative="1">
      <w:start w:val="1"/>
      <w:numFmt w:val="bullet"/>
      <w:lvlText w:val="•"/>
      <w:lvlJc w:val="left"/>
      <w:pPr>
        <w:tabs>
          <w:tab w:val="num" w:pos="2880"/>
        </w:tabs>
        <w:ind w:left="2880" w:hanging="360"/>
      </w:pPr>
      <w:rPr>
        <w:rFonts w:ascii="Arial" w:hAnsi="Arial" w:hint="default"/>
      </w:rPr>
    </w:lvl>
    <w:lvl w:ilvl="4" w:tplc="B1EC1BF0" w:tentative="1">
      <w:start w:val="1"/>
      <w:numFmt w:val="bullet"/>
      <w:lvlText w:val="•"/>
      <w:lvlJc w:val="left"/>
      <w:pPr>
        <w:tabs>
          <w:tab w:val="num" w:pos="3600"/>
        </w:tabs>
        <w:ind w:left="3600" w:hanging="360"/>
      </w:pPr>
      <w:rPr>
        <w:rFonts w:ascii="Arial" w:hAnsi="Arial" w:hint="default"/>
      </w:rPr>
    </w:lvl>
    <w:lvl w:ilvl="5" w:tplc="184454CE" w:tentative="1">
      <w:start w:val="1"/>
      <w:numFmt w:val="bullet"/>
      <w:lvlText w:val="•"/>
      <w:lvlJc w:val="left"/>
      <w:pPr>
        <w:tabs>
          <w:tab w:val="num" w:pos="4320"/>
        </w:tabs>
        <w:ind w:left="4320" w:hanging="360"/>
      </w:pPr>
      <w:rPr>
        <w:rFonts w:ascii="Arial" w:hAnsi="Arial" w:hint="default"/>
      </w:rPr>
    </w:lvl>
    <w:lvl w:ilvl="6" w:tplc="C7A469A6" w:tentative="1">
      <w:start w:val="1"/>
      <w:numFmt w:val="bullet"/>
      <w:lvlText w:val="•"/>
      <w:lvlJc w:val="left"/>
      <w:pPr>
        <w:tabs>
          <w:tab w:val="num" w:pos="5040"/>
        </w:tabs>
        <w:ind w:left="5040" w:hanging="360"/>
      </w:pPr>
      <w:rPr>
        <w:rFonts w:ascii="Arial" w:hAnsi="Arial" w:hint="default"/>
      </w:rPr>
    </w:lvl>
    <w:lvl w:ilvl="7" w:tplc="5E08F17E" w:tentative="1">
      <w:start w:val="1"/>
      <w:numFmt w:val="bullet"/>
      <w:lvlText w:val="•"/>
      <w:lvlJc w:val="left"/>
      <w:pPr>
        <w:tabs>
          <w:tab w:val="num" w:pos="5760"/>
        </w:tabs>
        <w:ind w:left="5760" w:hanging="360"/>
      </w:pPr>
      <w:rPr>
        <w:rFonts w:ascii="Arial" w:hAnsi="Arial" w:hint="default"/>
      </w:rPr>
    </w:lvl>
    <w:lvl w:ilvl="8" w:tplc="078A9EE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6456DFB"/>
    <w:multiLevelType w:val="hybridMultilevel"/>
    <w:tmpl w:val="61AC971E"/>
    <w:lvl w:ilvl="0" w:tplc="BDE0B814">
      <w:start w:val="3"/>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629769C"/>
    <w:multiLevelType w:val="hybridMultilevel"/>
    <w:tmpl w:val="FB7A281A"/>
    <w:lvl w:ilvl="0" w:tplc="2EA2809E">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7B2617C"/>
    <w:multiLevelType w:val="hybridMultilevel"/>
    <w:tmpl w:val="5FD29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4D0CC9"/>
    <w:multiLevelType w:val="hybridMultilevel"/>
    <w:tmpl w:val="66B48EC4"/>
    <w:lvl w:ilvl="0" w:tplc="7F960858">
      <w:start w:val="1"/>
      <w:numFmt w:val="bullet"/>
      <w:lvlText w:val="•"/>
      <w:lvlJc w:val="left"/>
      <w:pPr>
        <w:tabs>
          <w:tab w:val="num" w:pos="720"/>
        </w:tabs>
        <w:ind w:left="720" w:hanging="360"/>
      </w:pPr>
      <w:rPr>
        <w:rFonts w:ascii="Arial" w:hAnsi="Arial" w:hint="default"/>
      </w:rPr>
    </w:lvl>
    <w:lvl w:ilvl="1" w:tplc="757A506E">
      <w:start w:val="1388"/>
      <w:numFmt w:val="bullet"/>
      <w:lvlText w:val="–"/>
      <w:lvlJc w:val="left"/>
      <w:pPr>
        <w:tabs>
          <w:tab w:val="num" w:pos="1440"/>
        </w:tabs>
        <w:ind w:left="1440" w:hanging="360"/>
      </w:pPr>
      <w:rPr>
        <w:rFonts w:ascii="Arial" w:hAnsi="Arial" w:hint="default"/>
      </w:rPr>
    </w:lvl>
    <w:lvl w:ilvl="2" w:tplc="FB383B1C">
      <w:start w:val="1388"/>
      <w:numFmt w:val="bullet"/>
      <w:lvlText w:val="•"/>
      <w:lvlJc w:val="left"/>
      <w:pPr>
        <w:tabs>
          <w:tab w:val="num" w:pos="2160"/>
        </w:tabs>
        <w:ind w:left="2160" w:hanging="360"/>
      </w:pPr>
      <w:rPr>
        <w:rFonts w:ascii="Arial" w:hAnsi="Arial" w:hint="default"/>
      </w:rPr>
    </w:lvl>
    <w:lvl w:ilvl="3" w:tplc="EE387752">
      <w:start w:val="1"/>
      <w:numFmt w:val="bullet"/>
      <w:lvlText w:val="•"/>
      <w:lvlJc w:val="left"/>
      <w:pPr>
        <w:tabs>
          <w:tab w:val="num" w:pos="2880"/>
        </w:tabs>
        <w:ind w:left="2880" w:hanging="360"/>
      </w:pPr>
      <w:rPr>
        <w:rFonts w:ascii="Arial" w:hAnsi="Arial" w:hint="default"/>
      </w:rPr>
    </w:lvl>
    <w:lvl w:ilvl="4" w:tplc="1EA6164A" w:tentative="1">
      <w:start w:val="1"/>
      <w:numFmt w:val="bullet"/>
      <w:lvlText w:val="•"/>
      <w:lvlJc w:val="left"/>
      <w:pPr>
        <w:tabs>
          <w:tab w:val="num" w:pos="3600"/>
        </w:tabs>
        <w:ind w:left="3600" w:hanging="360"/>
      </w:pPr>
      <w:rPr>
        <w:rFonts w:ascii="Arial" w:hAnsi="Arial" w:hint="default"/>
      </w:rPr>
    </w:lvl>
    <w:lvl w:ilvl="5" w:tplc="8814CE8A" w:tentative="1">
      <w:start w:val="1"/>
      <w:numFmt w:val="bullet"/>
      <w:lvlText w:val="•"/>
      <w:lvlJc w:val="left"/>
      <w:pPr>
        <w:tabs>
          <w:tab w:val="num" w:pos="4320"/>
        </w:tabs>
        <w:ind w:left="4320" w:hanging="360"/>
      </w:pPr>
      <w:rPr>
        <w:rFonts w:ascii="Arial" w:hAnsi="Arial" w:hint="default"/>
      </w:rPr>
    </w:lvl>
    <w:lvl w:ilvl="6" w:tplc="04E66636" w:tentative="1">
      <w:start w:val="1"/>
      <w:numFmt w:val="bullet"/>
      <w:lvlText w:val="•"/>
      <w:lvlJc w:val="left"/>
      <w:pPr>
        <w:tabs>
          <w:tab w:val="num" w:pos="5040"/>
        </w:tabs>
        <w:ind w:left="5040" w:hanging="360"/>
      </w:pPr>
      <w:rPr>
        <w:rFonts w:ascii="Arial" w:hAnsi="Arial" w:hint="default"/>
      </w:rPr>
    </w:lvl>
    <w:lvl w:ilvl="7" w:tplc="BA56F816" w:tentative="1">
      <w:start w:val="1"/>
      <w:numFmt w:val="bullet"/>
      <w:lvlText w:val="•"/>
      <w:lvlJc w:val="left"/>
      <w:pPr>
        <w:tabs>
          <w:tab w:val="num" w:pos="5760"/>
        </w:tabs>
        <w:ind w:left="5760" w:hanging="360"/>
      </w:pPr>
      <w:rPr>
        <w:rFonts w:ascii="Arial" w:hAnsi="Arial" w:hint="default"/>
      </w:rPr>
    </w:lvl>
    <w:lvl w:ilvl="8" w:tplc="1C48646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B0903CA"/>
    <w:multiLevelType w:val="hybridMultilevel"/>
    <w:tmpl w:val="29D8C7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B14393F"/>
    <w:multiLevelType w:val="hybridMultilevel"/>
    <w:tmpl w:val="C396CA5A"/>
    <w:lvl w:ilvl="0" w:tplc="75CC903A">
      <w:start w:val="1"/>
      <w:numFmt w:val="bullet"/>
      <w:lvlText w:val="•"/>
      <w:lvlJc w:val="left"/>
      <w:pPr>
        <w:tabs>
          <w:tab w:val="num" w:pos="720"/>
        </w:tabs>
        <w:ind w:left="720" w:hanging="360"/>
      </w:pPr>
      <w:rPr>
        <w:rFonts w:ascii="Arial" w:hAnsi="Arial" w:hint="default"/>
      </w:rPr>
    </w:lvl>
    <w:lvl w:ilvl="1" w:tplc="9B78C85A">
      <w:start w:val="2790"/>
      <w:numFmt w:val="bullet"/>
      <w:lvlText w:val="–"/>
      <w:lvlJc w:val="left"/>
      <w:pPr>
        <w:tabs>
          <w:tab w:val="num" w:pos="1440"/>
        </w:tabs>
        <w:ind w:left="1440" w:hanging="360"/>
      </w:pPr>
      <w:rPr>
        <w:rFonts w:ascii="Arial" w:hAnsi="Arial" w:hint="default"/>
      </w:rPr>
    </w:lvl>
    <w:lvl w:ilvl="2" w:tplc="DB225232">
      <w:start w:val="2790"/>
      <w:numFmt w:val="bullet"/>
      <w:lvlText w:val="•"/>
      <w:lvlJc w:val="left"/>
      <w:pPr>
        <w:tabs>
          <w:tab w:val="num" w:pos="2160"/>
        </w:tabs>
        <w:ind w:left="2160" w:hanging="360"/>
      </w:pPr>
      <w:rPr>
        <w:rFonts w:ascii="Arial" w:hAnsi="Arial" w:hint="default"/>
      </w:rPr>
    </w:lvl>
    <w:lvl w:ilvl="3" w:tplc="BC86E680" w:tentative="1">
      <w:start w:val="1"/>
      <w:numFmt w:val="bullet"/>
      <w:lvlText w:val="•"/>
      <w:lvlJc w:val="left"/>
      <w:pPr>
        <w:tabs>
          <w:tab w:val="num" w:pos="2880"/>
        </w:tabs>
        <w:ind w:left="2880" w:hanging="360"/>
      </w:pPr>
      <w:rPr>
        <w:rFonts w:ascii="Arial" w:hAnsi="Arial" w:hint="default"/>
      </w:rPr>
    </w:lvl>
    <w:lvl w:ilvl="4" w:tplc="8180B224" w:tentative="1">
      <w:start w:val="1"/>
      <w:numFmt w:val="bullet"/>
      <w:lvlText w:val="•"/>
      <w:lvlJc w:val="left"/>
      <w:pPr>
        <w:tabs>
          <w:tab w:val="num" w:pos="3600"/>
        </w:tabs>
        <w:ind w:left="3600" w:hanging="360"/>
      </w:pPr>
      <w:rPr>
        <w:rFonts w:ascii="Arial" w:hAnsi="Arial" w:hint="default"/>
      </w:rPr>
    </w:lvl>
    <w:lvl w:ilvl="5" w:tplc="9D7C409C" w:tentative="1">
      <w:start w:val="1"/>
      <w:numFmt w:val="bullet"/>
      <w:lvlText w:val="•"/>
      <w:lvlJc w:val="left"/>
      <w:pPr>
        <w:tabs>
          <w:tab w:val="num" w:pos="4320"/>
        </w:tabs>
        <w:ind w:left="4320" w:hanging="360"/>
      </w:pPr>
      <w:rPr>
        <w:rFonts w:ascii="Arial" w:hAnsi="Arial" w:hint="default"/>
      </w:rPr>
    </w:lvl>
    <w:lvl w:ilvl="6" w:tplc="0690FBD8" w:tentative="1">
      <w:start w:val="1"/>
      <w:numFmt w:val="bullet"/>
      <w:lvlText w:val="•"/>
      <w:lvlJc w:val="left"/>
      <w:pPr>
        <w:tabs>
          <w:tab w:val="num" w:pos="5040"/>
        </w:tabs>
        <w:ind w:left="5040" w:hanging="360"/>
      </w:pPr>
      <w:rPr>
        <w:rFonts w:ascii="Arial" w:hAnsi="Arial" w:hint="default"/>
      </w:rPr>
    </w:lvl>
    <w:lvl w:ilvl="7" w:tplc="499C72E4" w:tentative="1">
      <w:start w:val="1"/>
      <w:numFmt w:val="bullet"/>
      <w:lvlText w:val="•"/>
      <w:lvlJc w:val="left"/>
      <w:pPr>
        <w:tabs>
          <w:tab w:val="num" w:pos="5760"/>
        </w:tabs>
        <w:ind w:left="5760" w:hanging="360"/>
      </w:pPr>
      <w:rPr>
        <w:rFonts w:ascii="Arial" w:hAnsi="Arial" w:hint="default"/>
      </w:rPr>
    </w:lvl>
    <w:lvl w:ilvl="8" w:tplc="01DCB57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204580F"/>
    <w:multiLevelType w:val="hybridMultilevel"/>
    <w:tmpl w:val="E22A1214"/>
    <w:lvl w:ilvl="0" w:tplc="C8F25F3E">
      <w:start w:val="1"/>
      <w:numFmt w:val="bullet"/>
      <w:lvlText w:val="•"/>
      <w:lvlJc w:val="left"/>
      <w:pPr>
        <w:tabs>
          <w:tab w:val="num" w:pos="720"/>
        </w:tabs>
        <w:ind w:left="720" w:hanging="360"/>
      </w:pPr>
      <w:rPr>
        <w:rFonts w:ascii="Arial" w:hAnsi="Arial" w:hint="default"/>
      </w:rPr>
    </w:lvl>
    <w:lvl w:ilvl="1" w:tplc="36A84B20">
      <w:numFmt w:val="bullet"/>
      <w:lvlText w:val="–"/>
      <w:lvlJc w:val="left"/>
      <w:pPr>
        <w:tabs>
          <w:tab w:val="num" w:pos="1440"/>
        </w:tabs>
        <w:ind w:left="1440" w:hanging="360"/>
      </w:pPr>
      <w:rPr>
        <w:rFonts w:ascii="Arial" w:hAnsi="Arial" w:hint="default"/>
      </w:rPr>
    </w:lvl>
    <w:lvl w:ilvl="2" w:tplc="8D347C68">
      <w:start w:val="1"/>
      <w:numFmt w:val="bullet"/>
      <w:lvlText w:val="•"/>
      <w:lvlJc w:val="left"/>
      <w:pPr>
        <w:tabs>
          <w:tab w:val="num" w:pos="2160"/>
        </w:tabs>
        <w:ind w:left="2160" w:hanging="360"/>
      </w:pPr>
      <w:rPr>
        <w:rFonts w:ascii="Arial" w:hAnsi="Arial" w:hint="default"/>
      </w:rPr>
    </w:lvl>
    <w:lvl w:ilvl="3" w:tplc="3F7E5888" w:tentative="1">
      <w:start w:val="1"/>
      <w:numFmt w:val="bullet"/>
      <w:lvlText w:val="•"/>
      <w:lvlJc w:val="left"/>
      <w:pPr>
        <w:tabs>
          <w:tab w:val="num" w:pos="2880"/>
        </w:tabs>
        <w:ind w:left="2880" w:hanging="360"/>
      </w:pPr>
      <w:rPr>
        <w:rFonts w:ascii="Arial" w:hAnsi="Arial" w:hint="default"/>
      </w:rPr>
    </w:lvl>
    <w:lvl w:ilvl="4" w:tplc="E45A1484" w:tentative="1">
      <w:start w:val="1"/>
      <w:numFmt w:val="bullet"/>
      <w:lvlText w:val="•"/>
      <w:lvlJc w:val="left"/>
      <w:pPr>
        <w:tabs>
          <w:tab w:val="num" w:pos="3600"/>
        </w:tabs>
        <w:ind w:left="3600" w:hanging="360"/>
      </w:pPr>
      <w:rPr>
        <w:rFonts w:ascii="Arial" w:hAnsi="Arial" w:hint="default"/>
      </w:rPr>
    </w:lvl>
    <w:lvl w:ilvl="5" w:tplc="71486340" w:tentative="1">
      <w:start w:val="1"/>
      <w:numFmt w:val="bullet"/>
      <w:lvlText w:val="•"/>
      <w:lvlJc w:val="left"/>
      <w:pPr>
        <w:tabs>
          <w:tab w:val="num" w:pos="4320"/>
        </w:tabs>
        <w:ind w:left="4320" w:hanging="360"/>
      </w:pPr>
      <w:rPr>
        <w:rFonts w:ascii="Arial" w:hAnsi="Arial" w:hint="default"/>
      </w:rPr>
    </w:lvl>
    <w:lvl w:ilvl="6" w:tplc="13E21B4A" w:tentative="1">
      <w:start w:val="1"/>
      <w:numFmt w:val="bullet"/>
      <w:lvlText w:val="•"/>
      <w:lvlJc w:val="left"/>
      <w:pPr>
        <w:tabs>
          <w:tab w:val="num" w:pos="5040"/>
        </w:tabs>
        <w:ind w:left="5040" w:hanging="360"/>
      </w:pPr>
      <w:rPr>
        <w:rFonts w:ascii="Arial" w:hAnsi="Arial" w:hint="default"/>
      </w:rPr>
    </w:lvl>
    <w:lvl w:ilvl="7" w:tplc="695E9E12" w:tentative="1">
      <w:start w:val="1"/>
      <w:numFmt w:val="bullet"/>
      <w:lvlText w:val="•"/>
      <w:lvlJc w:val="left"/>
      <w:pPr>
        <w:tabs>
          <w:tab w:val="num" w:pos="5760"/>
        </w:tabs>
        <w:ind w:left="5760" w:hanging="360"/>
      </w:pPr>
      <w:rPr>
        <w:rFonts w:ascii="Arial" w:hAnsi="Arial" w:hint="default"/>
      </w:rPr>
    </w:lvl>
    <w:lvl w:ilvl="8" w:tplc="A4A24BE4"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3BC45C3"/>
    <w:multiLevelType w:val="hybridMultilevel"/>
    <w:tmpl w:val="1446FEA0"/>
    <w:lvl w:ilvl="0" w:tplc="DCDC64D8">
      <w:start w:val="1"/>
      <w:numFmt w:val="bullet"/>
      <w:lvlText w:val="•"/>
      <w:lvlJc w:val="left"/>
      <w:pPr>
        <w:tabs>
          <w:tab w:val="num" w:pos="720"/>
        </w:tabs>
        <w:ind w:left="720" w:hanging="360"/>
      </w:pPr>
      <w:rPr>
        <w:rFonts w:ascii="Arial" w:hAnsi="Arial" w:hint="default"/>
      </w:rPr>
    </w:lvl>
    <w:lvl w:ilvl="1" w:tplc="1132FB80" w:tentative="1">
      <w:start w:val="1"/>
      <w:numFmt w:val="bullet"/>
      <w:lvlText w:val="•"/>
      <w:lvlJc w:val="left"/>
      <w:pPr>
        <w:tabs>
          <w:tab w:val="num" w:pos="1440"/>
        </w:tabs>
        <w:ind w:left="1440" w:hanging="360"/>
      </w:pPr>
      <w:rPr>
        <w:rFonts w:ascii="Arial" w:hAnsi="Arial" w:hint="default"/>
      </w:rPr>
    </w:lvl>
    <w:lvl w:ilvl="2" w:tplc="214CA2D6" w:tentative="1">
      <w:start w:val="1"/>
      <w:numFmt w:val="bullet"/>
      <w:lvlText w:val="•"/>
      <w:lvlJc w:val="left"/>
      <w:pPr>
        <w:tabs>
          <w:tab w:val="num" w:pos="2160"/>
        </w:tabs>
        <w:ind w:left="2160" w:hanging="360"/>
      </w:pPr>
      <w:rPr>
        <w:rFonts w:ascii="Arial" w:hAnsi="Arial" w:hint="default"/>
      </w:rPr>
    </w:lvl>
    <w:lvl w:ilvl="3" w:tplc="5890067A" w:tentative="1">
      <w:start w:val="1"/>
      <w:numFmt w:val="bullet"/>
      <w:lvlText w:val="•"/>
      <w:lvlJc w:val="left"/>
      <w:pPr>
        <w:tabs>
          <w:tab w:val="num" w:pos="2880"/>
        </w:tabs>
        <w:ind w:left="2880" w:hanging="360"/>
      </w:pPr>
      <w:rPr>
        <w:rFonts w:ascii="Arial" w:hAnsi="Arial" w:hint="default"/>
      </w:rPr>
    </w:lvl>
    <w:lvl w:ilvl="4" w:tplc="B2FAD136" w:tentative="1">
      <w:start w:val="1"/>
      <w:numFmt w:val="bullet"/>
      <w:lvlText w:val="•"/>
      <w:lvlJc w:val="left"/>
      <w:pPr>
        <w:tabs>
          <w:tab w:val="num" w:pos="3600"/>
        </w:tabs>
        <w:ind w:left="3600" w:hanging="360"/>
      </w:pPr>
      <w:rPr>
        <w:rFonts w:ascii="Arial" w:hAnsi="Arial" w:hint="default"/>
      </w:rPr>
    </w:lvl>
    <w:lvl w:ilvl="5" w:tplc="A456FF96" w:tentative="1">
      <w:start w:val="1"/>
      <w:numFmt w:val="bullet"/>
      <w:lvlText w:val="•"/>
      <w:lvlJc w:val="left"/>
      <w:pPr>
        <w:tabs>
          <w:tab w:val="num" w:pos="4320"/>
        </w:tabs>
        <w:ind w:left="4320" w:hanging="360"/>
      </w:pPr>
      <w:rPr>
        <w:rFonts w:ascii="Arial" w:hAnsi="Arial" w:hint="default"/>
      </w:rPr>
    </w:lvl>
    <w:lvl w:ilvl="6" w:tplc="A2C4B4A8" w:tentative="1">
      <w:start w:val="1"/>
      <w:numFmt w:val="bullet"/>
      <w:lvlText w:val="•"/>
      <w:lvlJc w:val="left"/>
      <w:pPr>
        <w:tabs>
          <w:tab w:val="num" w:pos="5040"/>
        </w:tabs>
        <w:ind w:left="5040" w:hanging="360"/>
      </w:pPr>
      <w:rPr>
        <w:rFonts w:ascii="Arial" w:hAnsi="Arial" w:hint="default"/>
      </w:rPr>
    </w:lvl>
    <w:lvl w:ilvl="7" w:tplc="3F4EEFB8" w:tentative="1">
      <w:start w:val="1"/>
      <w:numFmt w:val="bullet"/>
      <w:lvlText w:val="•"/>
      <w:lvlJc w:val="left"/>
      <w:pPr>
        <w:tabs>
          <w:tab w:val="num" w:pos="5760"/>
        </w:tabs>
        <w:ind w:left="5760" w:hanging="360"/>
      </w:pPr>
      <w:rPr>
        <w:rFonts w:ascii="Arial" w:hAnsi="Arial" w:hint="default"/>
      </w:rPr>
    </w:lvl>
    <w:lvl w:ilvl="8" w:tplc="04CA32C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6A143AB"/>
    <w:multiLevelType w:val="hybridMultilevel"/>
    <w:tmpl w:val="9264A7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A7408AE"/>
    <w:multiLevelType w:val="hybridMultilevel"/>
    <w:tmpl w:val="8300FBD6"/>
    <w:lvl w:ilvl="0" w:tplc="D5D27C6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5"/>
  </w:num>
  <w:num w:numId="3">
    <w:abstractNumId w:val="17"/>
  </w:num>
  <w:num w:numId="4">
    <w:abstractNumId w:val="13"/>
  </w:num>
  <w:num w:numId="5">
    <w:abstractNumId w:val="36"/>
  </w:num>
  <w:num w:numId="6">
    <w:abstractNumId w:val="9"/>
  </w:num>
  <w:num w:numId="7">
    <w:abstractNumId w:val="34"/>
  </w:num>
  <w:num w:numId="8">
    <w:abstractNumId w:val="27"/>
  </w:num>
  <w:num w:numId="9">
    <w:abstractNumId w:val="35"/>
  </w:num>
  <w:num w:numId="10">
    <w:abstractNumId w:val="20"/>
  </w:num>
  <w:num w:numId="11">
    <w:abstractNumId w:val="0"/>
  </w:num>
  <w:num w:numId="12">
    <w:abstractNumId w:val="14"/>
  </w:num>
  <w:num w:numId="13">
    <w:abstractNumId w:val="23"/>
  </w:num>
  <w:num w:numId="14">
    <w:abstractNumId w:val="6"/>
  </w:num>
  <w:num w:numId="15">
    <w:abstractNumId w:val="29"/>
  </w:num>
  <w:num w:numId="16">
    <w:abstractNumId w:val="25"/>
  </w:num>
  <w:num w:numId="17">
    <w:abstractNumId w:val="19"/>
  </w:num>
  <w:num w:numId="18">
    <w:abstractNumId w:val="38"/>
  </w:num>
  <w:num w:numId="19">
    <w:abstractNumId w:val="8"/>
  </w:num>
  <w:num w:numId="20">
    <w:abstractNumId w:val="28"/>
  </w:num>
  <w:num w:numId="21">
    <w:abstractNumId w:val="7"/>
  </w:num>
  <w:num w:numId="22">
    <w:abstractNumId w:val="26"/>
  </w:num>
  <w:num w:numId="23">
    <w:abstractNumId w:val="24"/>
  </w:num>
  <w:num w:numId="24">
    <w:abstractNumId w:val="1"/>
  </w:num>
  <w:num w:numId="25">
    <w:abstractNumId w:val="32"/>
  </w:num>
  <w:num w:numId="26">
    <w:abstractNumId w:val="12"/>
  </w:num>
  <w:num w:numId="27">
    <w:abstractNumId w:val="3"/>
  </w:num>
  <w:num w:numId="28">
    <w:abstractNumId w:val="4"/>
  </w:num>
  <w:num w:numId="29">
    <w:abstractNumId w:val="37"/>
  </w:num>
  <w:num w:numId="30">
    <w:abstractNumId w:val="21"/>
  </w:num>
  <w:num w:numId="31">
    <w:abstractNumId w:val="31"/>
  </w:num>
  <w:num w:numId="32">
    <w:abstractNumId w:val="2"/>
  </w:num>
  <w:num w:numId="33">
    <w:abstractNumId w:val="33"/>
  </w:num>
  <w:num w:numId="34">
    <w:abstractNumId w:val="30"/>
  </w:num>
  <w:num w:numId="35">
    <w:abstractNumId w:val="40"/>
  </w:num>
  <w:num w:numId="36">
    <w:abstractNumId w:val="10"/>
  </w:num>
  <w:num w:numId="37">
    <w:abstractNumId w:val="11"/>
  </w:num>
  <w:num w:numId="38">
    <w:abstractNumId w:val="39"/>
  </w:num>
  <w:num w:numId="39">
    <w:abstractNumId w:val="15"/>
  </w:num>
  <w:num w:numId="40">
    <w:abstractNumId w:val="16"/>
  </w:num>
  <w:num w:numId="41">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14"/>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6055"/>
    <w:rsid w:val="00006AD4"/>
    <w:rsid w:val="000074C4"/>
    <w:rsid w:val="000079A6"/>
    <w:rsid w:val="00010523"/>
    <w:rsid w:val="00012505"/>
    <w:rsid w:val="00012C4F"/>
    <w:rsid w:val="000131D1"/>
    <w:rsid w:val="00013455"/>
    <w:rsid w:val="000134E3"/>
    <w:rsid w:val="00013632"/>
    <w:rsid w:val="00013F5E"/>
    <w:rsid w:val="0001403F"/>
    <w:rsid w:val="0001487F"/>
    <w:rsid w:val="00014F35"/>
    <w:rsid w:val="00015F98"/>
    <w:rsid w:val="000166AC"/>
    <w:rsid w:val="00017B7F"/>
    <w:rsid w:val="00017EDA"/>
    <w:rsid w:val="00024AEF"/>
    <w:rsid w:val="00026C65"/>
    <w:rsid w:val="00027755"/>
    <w:rsid w:val="00030048"/>
    <w:rsid w:val="0003072D"/>
    <w:rsid w:val="000314CD"/>
    <w:rsid w:val="000317D2"/>
    <w:rsid w:val="00033544"/>
    <w:rsid w:val="0003479E"/>
    <w:rsid w:val="00035691"/>
    <w:rsid w:val="0004132D"/>
    <w:rsid w:val="0004189A"/>
    <w:rsid w:val="000433EA"/>
    <w:rsid w:val="00044CFA"/>
    <w:rsid w:val="000459C7"/>
    <w:rsid w:val="00046630"/>
    <w:rsid w:val="00046C80"/>
    <w:rsid w:val="0004718B"/>
    <w:rsid w:val="000473E0"/>
    <w:rsid w:val="00050112"/>
    <w:rsid w:val="000505CC"/>
    <w:rsid w:val="000511F9"/>
    <w:rsid w:val="00052850"/>
    <w:rsid w:val="000528A2"/>
    <w:rsid w:val="00052BBA"/>
    <w:rsid w:val="00054D9D"/>
    <w:rsid w:val="00055676"/>
    <w:rsid w:val="00056544"/>
    <w:rsid w:val="00060D8E"/>
    <w:rsid w:val="000610E7"/>
    <w:rsid w:val="00063D9E"/>
    <w:rsid w:val="000649B6"/>
    <w:rsid w:val="00064AD3"/>
    <w:rsid w:val="00065088"/>
    <w:rsid w:val="000652D3"/>
    <w:rsid w:val="000654A0"/>
    <w:rsid w:val="000707CA"/>
    <w:rsid w:val="0007205E"/>
    <w:rsid w:val="00072BBA"/>
    <w:rsid w:val="000747F0"/>
    <w:rsid w:val="00075FDA"/>
    <w:rsid w:val="00076386"/>
    <w:rsid w:val="00076D82"/>
    <w:rsid w:val="00081EC2"/>
    <w:rsid w:val="00083800"/>
    <w:rsid w:val="00084A65"/>
    <w:rsid w:val="00091A92"/>
    <w:rsid w:val="00093AAD"/>
    <w:rsid w:val="00093C49"/>
    <w:rsid w:val="00095A80"/>
    <w:rsid w:val="000973E1"/>
    <w:rsid w:val="000A0D39"/>
    <w:rsid w:val="000A1402"/>
    <w:rsid w:val="000A20BA"/>
    <w:rsid w:val="000A21D7"/>
    <w:rsid w:val="000A262C"/>
    <w:rsid w:val="000A3C8D"/>
    <w:rsid w:val="000A40EC"/>
    <w:rsid w:val="000A54EE"/>
    <w:rsid w:val="000A6A23"/>
    <w:rsid w:val="000A79C7"/>
    <w:rsid w:val="000A7BC5"/>
    <w:rsid w:val="000B16DB"/>
    <w:rsid w:val="000B1C5E"/>
    <w:rsid w:val="000B2282"/>
    <w:rsid w:val="000B2A11"/>
    <w:rsid w:val="000B2A5B"/>
    <w:rsid w:val="000B3B91"/>
    <w:rsid w:val="000B4641"/>
    <w:rsid w:val="000B5F0A"/>
    <w:rsid w:val="000C56B1"/>
    <w:rsid w:val="000C5B3B"/>
    <w:rsid w:val="000C74BA"/>
    <w:rsid w:val="000C7531"/>
    <w:rsid w:val="000C7C3F"/>
    <w:rsid w:val="000D0BD6"/>
    <w:rsid w:val="000D0C61"/>
    <w:rsid w:val="000D27AD"/>
    <w:rsid w:val="000D29D1"/>
    <w:rsid w:val="000D2B0A"/>
    <w:rsid w:val="000D3286"/>
    <w:rsid w:val="000D344D"/>
    <w:rsid w:val="000D40E7"/>
    <w:rsid w:val="000D5737"/>
    <w:rsid w:val="000D584F"/>
    <w:rsid w:val="000E071E"/>
    <w:rsid w:val="000E27AA"/>
    <w:rsid w:val="000E3365"/>
    <w:rsid w:val="000E337A"/>
    <w:rsid w:val="000E4350"/>
    <w:rsid w:val="000E4408"/>
    <w:rsid w:val="000E5716"/>
    <w:rsid w:val="000E7A79"/>
    <w:rsid w:val="000F15B2"/>
    <w:rsid w:val="000F19DE"/>
    <w:rsid w:val="000F2E1F"/>
    <w:rsid w:val="000F37B0"/>
    <w:rsid w:val="000F4595"/>
    <w:rsid w:val="000F4CB2"/>
    <w:rsid w:val="000F568D"/>
    <w:rsid w:val="000F77A6"/>
    <w:rsid w:val="00100486"/>
    <w:rsid w:val="00101C4F"/>
    <w:rsid w:val="00102C9F"/>
    <w:rsid w:val="001068D2"/>
    <w:rsid w:val="001103BD"/>
    <w:rsid w:val="00111208"/>
    <w:rsid w:val="00111808"/>
    <w:rsid w:val="0011339F"/>
    <w:rsid w:val="00114E96"/>
    <w:rsid w:val="001204DD"/>
    <w:rsid w:val="00122839"/>
    <w:rsid w:val="001237AC"/>
    <w:rsid w:val="00124E12"/>
    <w:rsid w:val="0012673D"/>
    <w:rsid w:val="001269B8"/>
    <w:rsid w:val="00127099"/>
    <w:rsid w:val="00132421"/>
    <w:rsid w:val="00132B71"/>
    <w:rsid w:val="0013427A"/>
    <w:rsid w:val="001362C2"/>
    <w:rsid w:val="00136955"/>
    <w:rsid w:val="001371B2"/>
    <w:rsid w:val="00137D78"/>
    <w:rsid w:val="001409A0"/>
    <w:rsid w:val="00141F08"/>
    <w:rsid w:val="00141FF2"/>
    <w:rsid w:val="00142DE2"/>
    <w:rsid w:val="00144C87"/>
    <w:rsid w:val="001464C6"/>
    <w:rsid w:val="001467B1"/>
    <w:rsid w:val="00150175"/>
    <w:rsid w:val="001502C8"/>
    <w:rsid w:val="0015130F"/>
    <w:rsid w:val="00154869"/>
    <w:rsid w:val="00155BFD"/>
    <w:rsid w:val="00157390"/>
    <w:rsid w:val="00160998"/>
    <w:rsid w:val="00160CD6"/>
    <w:rsid w:val="0016316A"/>
    <w:rsid w:val="00164171"/>
    <w:rsid w:val="001648CC"/>
    <w:rsid w:val="00164E58"/>
    <w:rsid w:val="00165033"/>
    <w:rsid w:val="001670EA"/>
    <w:rsid w:val="00167401"/>
    <w:rsid w:val="001674A0"/>
    <w:rsid w:val="001701A5"/>
    <w:rsid w:val="00170389"/>
    <w:rsid w:val="00170A50"/>
    <w:rsid w:val="0017170D"/>
    <w:rsid w:val="00174FFD"/>
    <w:rsid w:val="0017565B"/>
    <w:rsid w:val="001759CA"/>
    <w:rsid w:val="0017726A"/>
    <w:rsid w:val="00180278"/>
    <w:rsid w:val="001818A7"/>
    <w:rsid w:val="00182725"/>
    <w:rsid w:val="001829C8"/>
    <w:rsid w:val="00186904"/>
    <w:rsid w:val="00186B0A"/>
    <w:rsid w:val="001905BD"/>
    <w:rsid w:val="00192FE6"/>
    <w:rsid w:val="00193986"/>
    <w:rsid w:val="00193B08"/>
    <w:rsid w:val="00194570"/>
    <w:rsid w:val="0019572D"/>
    <w:rsid w:val="00196BF4"/>
    <w:rsid w:val="001972DA"/>
    <w:rsid w:val="001976AA"/>
    <w:rsid w:val="001A08B4"/>
    <w:rsid w:val="001A0BFC"/>
    <w:rsid w:val="001A15C6"/>
    <w:rsid w:val="001A5E19"/>
    <w:rsid w:val="001B01FA"/>
    <w:rsid w:val="001B0832"/>
    <w:rsid w:val="001B18A7"/>
    <w:rsid w:val="001B36FC"/>
    <w:rsid w:val="001B41ED"/>
    <w:rsid w:val="001B4607"/>
    <w:rsid w:val="001B7E0C"/>
    <w:rsid w:val="001C0674"/>
    <w:rsid w:val="001C226F"/>
    <w:rsid w:val="001C2649"/>
    <w:rsid w:val="001C27F4"/>
    <w:rsid w:val="001C32B5"/>
    <w:rsid w:val="001C66AC"/>
    <w:rsid w:val="001C6754"/>
    <w:rsid w:val="001C77F0"/>
    <w:rsid w:val="001D46A0"/>
    <w:rsid w:val="001D7282"/>
    <w:rsid w:val="001D7CA4"/>
    <w:rsid w:val="001D7E58"/>
    <w:rsid w:val="001E4D4F"/>
    <w:rsid w:val="001E57CF"/>
    <w:rsid w:val="001E5981"/>
    <w:rsid w:val="001E74BA"/>
    <w:rsid w:val="001E7B9F"/>
    <w:rsid w:val="001F01FB"/>
    <w:rsid w:val="001F0658"/>
    <w:rsid w:val="001F0E92"/>
    <w:rsid w:val="001F1987"/>
    <w:rsid w:val="001F1B0B"/>
    <w:rsid w:val="001F23BD"/>
    <w:rsid w:val="001F34DA"/>
    <w:rsid w:val="001F4DAC"/>
    <w:rsid w:val="001F5019"/>
    <w:rsid w:val="001F67AA"/>
    <w:rsid w:val="001F7599"/>
    <w:rsid w:val="00204B3A"/>
    <w:rsid w:val="0020535A"/>
    <w:rsid w:val="00206955"/>
    <w:rsid w:val="00210309"/>
    <w:rsid w:val="00212FB8"/>
    <w:rsid w:val="00213709"/>
    <w:rsid w:val="002149AF"/>
    <w:rsid w:val="00214A86"/>
    <w:rsid w:val="00215AAA"/>
    <w:rsid w:val="0021617B"/>
    <w:rsid w:val="00217CDF"/>
    <w:rsid w:val="00221985"/>
    <w:rsid w:val="00221EC5"/>
    <w:rsid w:val="00222A7A"/>
    <w:rsid w:val="00224A2C"/>
    <w:rsid w:val="002251A1"/>
    <w:rsid w:val="002256D9"/>
    <w:rsid w:val="00226805"/>
    <w:rsid w:val="0022687C"/>
    <w:rsid w:val="00227A45"/>
    <w:rsid w:val="002306C8"/>
    <w:rsid w:val="002306F8"/>
    <w:rsid w:val="002312F4"/>
    <w:rsid w:val="002313A2"/>
    <w:rsid w:val="00231FC7"/>
    <w:rsid w:val="00232930"/>
    <w:rsid w:val="00232A95"/>
    <w:rsid w:val="00232DD9"/>
    <w:rsid w:val="00233403"/>
    <w:rsid w:val="00233440"/>
    <w:rsid w:val="00233D0E"/>
    <w:rsid w:val="00236450"/>
    <w:rsid w:val="0023765A"/>
    <w:rsid w:val="00237921"/>
    <w:rsid w:val="00241311"/>
    <w:rsid w:val="00242E22"/>
    <w:rsid w:val="0024336B"/>
    <w:rsid w:val="0024424F"/>
    <w:rsid w:val="00244D28"/>
    <w:rsid w:val="00245720"/>
    <w:rsid w:val="00245FD5"/>
    <w:rsid w:val="002477DF"/>
    <w:rsid w:val="00251AD6"/>
    <w:rsid w:val="00252C17"/>
    <w:rsid w:val="0025307F"/>
    <w:rsid w:val="002551BD"/>
    <w:rsid w:val="002568D0"/>
    <w:rsid w:val="00262661"/>
    <w:rsid w:val="00262F6F"/>
    <w:rsid w:val="002632DF"/>
    <w:rsid w:val="002640BA"/>
    <w:rsid w:val="00264CF2"/>
    <w:rsid w:val="00267587"/>
    <w:rsid w:val="00271589"/>
    <w:rsid w:val="00273177"/>
    <w:rsid w:val="00273EAA"/>
    <w:rsid w:val="00275074"/>
    <w:rsid w:val="002763E9"/>
    <w:rsid w:val="00276736"/>
    <w:rsid w:val="00282B54"/>
    <w:rsid w:val="002830DC"/>
    <w:rsid w:val="00284E32"/>
    <w:rsid w:val="002851EB"/>
    <w:rsid w:val="00285510"/>
    <w:rsid w:val="00285DE2"/>
    <w:rsid w:val="0028616D"/>
    <w:rsid w:val="00286965"/>
    <w:rsid w:val="0029136E"/>
    <w:rsid w:val="00292399"/>
    <w:rsid w:val="00294445"/>
    <w:rsid w:val="00294B4D"/>
    <w:rsid w:val="002960D5"/>
    <w:rsid w:val="002A1062"/>
    <w:rsid w:val="002A2413"/>
    <w:rsid w:val="002A2F5E"/>
    <w:rsid w:val="002A352A"/>
    <w:rsid w:val="002A607D"/>
    <w:rsid w:val="002B132E"/>
    <w:rsid w:val="002B2813"/>
    <w:rsid w:val="002B2D29"/>
    <w:rsid w:val="002C1EEA"/>
    <w:rsid w:val="002C2FA1"/>
    <w:rsid w:val="002C3EAA"/>
    <w:rsid w:val="002C6034"/>
    <w:rsid w:val="002C635B"/>
    <w:rsid w:val="002C7BB1"/>
    <w:rsid w:val="002C7CFF"/>
    <w:rsid w:val="002D0BC6"/>
    <w:rsid w:val="002D17C5"/>
    <w:rsid w:val="002D365F"/>
    <w:rsid w:val="002D3816"/>
    <w:rsid w:val="002D6113"/>
    <w:rsid w:val="002D7C86"/>
    <w:rsid w:val="002E0692"/>
    <w:rsid w:val="002E1D74"/>
    <w:rsid w:val="002E2943"/>
    <w:rsid w:val="002E2CF1"/>
    <w:rsid w:val="002E34AF"/>
    <w:rsid w:val="002E408D"/>
    <w:rsid w:val="002E4AAC"/>
    <w:rsid w:val="002E53DE"/>
    <w:rsid w:val="002E563B"/>
    <w:rsid w:val="002E62D2"/>
    <w:rsid w:val="002E6B21"/>
    <w:rsid w:val="002E74AF"/>
    <w:rsid w:val="002E7581"/>
    <w:rsid w:val="002F04AE"/>
    <w:rsid w:val="002F1038"/>
    <w:rsid w:val="002F1B64"/>
    <w:rsid w:val="002F22FF"/>
    <w:rsid w:val="002F2D8F"/>
    <w:rsid w:val="002F695B"/>
    <w:rsid w:val="002F72DA"/>
    <w:rsid w:val="002F76B1"/>
    <w:rsid w:val="002F7D66"/>
    <w:rsid w:val="002F7DBE"/>
    <w:rsid w:val="0030090B"/>
    <w:rsid w:val="00302AE8"/>
    <w:rsid w:val="00302BB1"/>
    <w:rsid w:val="00303F60"/>
    <w:rsid w:val="00304210"/>
    <w:rsid w:val="003048D7"/>
    <w:rsid w:val="00304AD1"/>
    <w:rsid w:val="00304AD2"/>
    <w:rsid w:val="003062E6"/>
    <w:rsid w:val="003068B6"/>
    <w:rsid w:val="003071F6"/>
    <w:rsid w:val="00311C08"/>
    <w:rsid w:val="00312ECE"/>
    <w:rsid w:val="0031393C"/>
    <w:rsid w:val="00313CB0"/>
    <w:rsid w:val="00313F96"/>
    <w:rsid w:val="003150CE"/>
    <w:rsid w:val="003158B7"/>
    <w:rsid w:val="00315AAB"/>
    <w:rsid w:val="00315E1B"/>
    <w:rsid w:val="003175E1"/>
    <w:rsid w:val="00320299"/>
    <w:rsid w:val="00321154"/>
    <w:rsid w:val="003211B0"/>
    <w:rsid w:val="00321EDA"/>
    <w:rsid w:val="003224E7"/>
    <w:rsid w:val="00325D7A"/>
    <w:rsid w:val="00326145"/>
    <w:rsid w:val="00327163"/>
    <w:rsid w:val="00327305"/>
    <w:rsid w:val="00327531"/>
    <w:rsid w:val="00330187"/>
    <w:rsid w:val="00331C77"/>
    <w:rsid w:val="00331F96"/>
    <w:rsid w:val="00332B55"/>
    <w:rsid w:val="00335EA8"/>
    <w:rsid w:val="003363DD"/>
    <w:rsid w:val="00340361"/>
    <w:rsid w:val="00340795"/>
    <w:rsid w:val="0034111C"/>
    <w:rsid w:val="003416B2"/>
    <w:rsid w:val="00341E60"/>
    <w:rsid w:val="0034217F"/>
    <w:rsid w:val="00343954"/>
    <w:rsid w:val="00345405"/>
    <w:rsid w:val="00345DDD"/>
    <w:rsid w:val="00346FED"/>
    <w:rsid w:val="003505F1"/>
    <w:rsid w:val="00351E01"/>
    <w:rsid w:val="00352377"/>
    <w:rsid w:val="00352D21"/>
    <w:rsid w:val="0035443D"/>
    <w:rsid w:val="00354FEE"/>
    <w:rsid w:val="00355831"/>
    <w:rsid w:val="00356C0B"/>
    <w:rsid w:val="00357B9C"/>
    <w:rsid w:val="00361412"/>
    <w:rsid w:val="003615CA"/>
    <w:rsid w:val="003642A6"/>
    <w:rsid w:val="00367337"/>
    <w:rsid w:val="00367FD8"/>
    <w:rsid w:val="0037085E"/>
    <w:rsid w:val="00370B63"/>
    <w:rsid w:val="00370FCC"/>
    <w:rsid w:val="003711AF"/>
    <w:rsid w:val="00374848"/>
    <w:rsid w:val="00375D09"/>
    <w:rsid w:val="003772D4"/>
    <w:rsid w:val="0037739D"/>
    <w:rsid w:val="0037751C"/>
    <w:rsid w:val="00380F3F"/>
    <w:rsid w:val="00382232"/>
    <w:rsid w:val="00382F1A"/>
    <w:rsid w:val="00383282"/>
    <w:rsid w:val="00383658"/>
    <w:rsid w:val="00383B56"/>
    <w:rsid w:val="00383EB6"/>
    <w:rsid w:val="0038412E"/>
    <w:rsid w:val="003845EF"/>
    <w:rsid w:val="00385540"/>
    <w:rsid w:val="00386053"/>
    <w:rsid w:val="0038771D"/>
    <w:rsid w:val="00390AC1"/>
    <w:rsid w:val="00393E44"/>
    <w:rsid w:val="00397AB6"/>
    <w:rsid w:val="00397ACA"/>
    <w:rsid w:val="003A0DA6"/>
    <w:rsid w:val="003A10C3"/>
    <w:rsid w:val="003A419A"/>
    <w:rsid w:val="003A597F"/>
    <w:rsid w:val="003A71A8"/>
    <w:rsid w:val="003B00CA"/>
    <w:rsid w:val="003B030B"/>
    <w:rsid w:val="003B0432"/>
    <w:rsid w:val="003B0821"/>
    <w:rsid w:val="003B0BE9"/>
    <w:rsid w:val="003B2E9B"/>
    <w:rsid w:val="003B2F8D"/>
    <w:rsid w:val="003B3DD0"/>
    <w:rsid w:val="003B4FAA"/>
    <w:rsid w:val="003B547A"/>
    <w:rsid w:val="003B75B9"/>
    <w:rsid w:val="003B77E4"/>
    <w:rsid w:val="003C1A18"/>
    <w:rsid w:val="003C5C41"/>
    <w:rsid w:val="003C7461"/>
    <w:rsid w:val="003D0788"/>
    <w:rsid w:val="003D132A"/>
    <w:rsid w:val="003D1517"/>
    <w:rsid w:val="003D2938"/>
    <w:rsid w:val="003D3FBA"/>
    <w:rsid w:val="003D402B"/>
    <w:rsid w:val="003D764F"/>
    <w:rsid w:val="003E0667"/>
    <w:rsid w:val="003E0BCE"/>
    <w:rsid w:val="003E13E0"/>
    <w:rsid w:val="003E1660"/>
    <w:rsid w:val="003E1CD1"/>
    <w:rsid w:val="003E2A2D"/>
    <w:rsid w:val="003E64A9"/>
    <w:rsid w:val="003E7905"/>
    <w:rsid w:val="003F0336"/>
    <w:rsid w:val="003F5547"/>
    <w:rsid w:val="003F5C40"/>
    <w:rsid w:val="003F6E12"/>
    <w:rsid w:val="003F75ED"/>
    <w:rsid w:val="004002B7"/>
    <w:rsid w:val="00400AD0"/>
    <w:rsid w:val="00400F31"/>
    <w:rsid w:val="00402F2A"/>
    <w:rsid w:val="00406B4D"/>
    <w:rsid w:val="0041443C"/>
    <w:rsid w:val="004154F7"/>
    <w:rsid w:val="004176FF"/>
    <w:rsid w:val="004241C5"/>
    <w:rsid w:val="00424FA7"/>
    <w:rsid w:val="00426A87"/>
    <w:rsid w:val="004309D8"/>
    <w:rsid w:val="004313D1"/>
    <w:rsid w:val="00432110"/>
    <w:rsid w:val="00433EBE"/>
    <w:rsid w:val="00434406"/>
    <w:rsid w:val="00441B92"/>
    <w:rsid w:val="0044321F"/>
    <w:rsid w:val="0044474B"/>
    <w:rsid w:val="00444F93"/>
    <w:rsid w:val="00444FA4"/>
    <w:rsid w:val="004453BC"/>
    <w:rsid w:val="00445FF7"/>
    <w:rsid w:val="00452B14"/>
    <w:rsid w:val="00453341"/>
    <w:rsid w:val="004545C6"/>
    <w:rsid w:val="00454DCA"/>
    <w:rsid w:val="00456544"/>
    <w:rsid w:val="00456649"/>
    <w:rsid w:val="004567B7"/>
    <w:rsid w:val="00456856"/>
    <w:rsid w:val="0045714C"/>
    <w:rsid w:val="00461210"/>
    <w:rsid w:val="00462490"/>
    <w:rsid w:val="00465299"/>
    <w:rsid w:val="00466A0F"/>
    <w:rsid w:val="0046795B"/>
    <w:rsid w:val="00471863"/>
    <w:rsid w:val="00473A14"/>
    <w:rsid w:val="00474CA8"/>
    <w:rsid w:val="00474E43"/>
    <w:rsid w:val="00475229"/>
    <w:rsid w:val="00481D90"/>
    <w:rsid w:val="004827D3"/>
    <w:rsid w:val="00482CD4"/>
    <w:rsid w:val="00483261"/>
    <w:rsid w:val="00485B23"/>
    <w:rsid w:val="004874E4"/>
    <w:rsid w:val="0049070D"/>
    <w:rsid w:val="00491DB2"/>
    <w:rsid w:val="00492877"/>
    <w:rsid w:val="004948ED"/>
    <w:rsid w:val="00495A8F"/>
    <w:rsid w:val="00496DC2"/>
    <w:rsid w:val="00496E75"/>
    <w:rsid w:val="004A014C"/>
    <w:rsid w:val="004A015B"/>
    <w:rsid w:val="004A0AA8"/>
    <w:rsid w:val="004A1FE4"/>
    <w:rsid w:val="004A2CA9"/>
    <w:rsid w:val="004A3CB5"/>
    <w:rsid w:val="004A537D"/>
    <w:rsid w:val="004A67F0"/>
    <w:rsid w:val="004A6FFF"/>
    <w:rsid w:val="004A71C3"/>
    <w:rsid w:val="004A7769"/>
    <w:rsid w:val="004B15E2"/>
    <w:rsid w:val="004B23AD"/>
    <w:rsid w:val="004B2965"/>
    <w:rsid w:val="004B4224"/>
    <w:rsid w:val="004B45B5"/>
    <w:rsid w:val="004B4647"/>
    <w:rsid w:val="004B7455"/>
    <w:rsid w:val="004B74FF"/>
    <w:rsid w:val="004B7A23"/>
    <w:rsid w:val="004B7CE4"/>
    <w:rsid w:val="004C0401"/>
    <w:rsid w:val="004C14B3"/>
    <w:rsid w:val="004C183D"/>
    <w:rsid w:val="004C3EEE"/>
    <w:rsid w:val="004C483D"/>
    <w:rsid w:val="004C7948"/>
    <w:rsid w:val="004C795A"/>
    <w:rsid w:val="004C7F93"/>
    <w:rsid w:val="004D201D"/>
    <w:rsid w:val="004D26B8"/>
    <w:rsid w:val="004D38C2"/>
    <w:rsid w:val="004D4FBD"/>
    <w:rsid w:val="004D4FC0"/>
    <w:rsid w:val="004D7DA8"/>
    <w:rsid w:val="004E2892"/>
    <w:rsid w:val="004E362B"/>
    <w:rsid w:val="004E3681"/>
    <w:rsid w:val="004E3D74"/>
    <w:rsid w:val="004E784B"/>
    <w:rsid w:val="004F0224"/>
    <w:rsid w:val="004F0DB4"/>
    <w:rsid w:val="004F0E04"/>
    <w:rsid w:val="004F1EBC"/>
    <w:rsid w:val="004F3659"/>
    <w:rsid w:val="004F3B71"/>
    <w:rsid w:val="004F5154"/>
    <w:rsid w:val="004F5835"/>
    <w:rsid w:val="004F661C"/>
    <w:rsid w:val="004F6D99"/>
    <w:rsid w:val="00500572"/>
    <w:rsid w:val="00501304"/>
    <w:rsid w:val="00501425"/>
    <w:rsid w:val="005030E7"/>
    <w:rsid w:val="00504311"/>
    <w:rsid w:val="0050485C"/>
    <w:rsid w:val="00504AC6"/>
    <w:rsid w:val="00506FCA"/>
    <w:rsid w:val="00511079"/>
    <w:rsid w:val="00512829"/>
    <w:rsid w:val="00513449"/>
    <w:rsid w:val="00513A15"/>
    <w:rsid w:val="0051423C"/>
    <w:rsid w:val="00514C91"/>
    <w:rsid w:val="00516241"/>
    <w:rsid w:val="00516FD9"/>
    <w:rsid w:val="0051791D"/>
    <w:rsid w:val="00520727"/>
    <w:rsid w:val="00523E75"/>
    <w:rsid w:val="005243E0"/>
    <w:rsid w:val="005256F3"/>
    <w:rsid w:val="005265A3"/>
    <w:rsid w:val="00526783"/>
    <w:rsid w:val="005277B9"/>
    <w:rsid w:val="00527FB1"/>
    <w:rsid w:val="005308FE"/>
    <w:rsid w:val="0053162F"/>
    <w:rsid w:val="00531777"/>
    <w:rsid w:val="0053281C"/>
    <w:rsid w:val="005340C9"/>
    <w:rsid w:val="005340E6"/>
    <w:rsid w:val="005375FE"/>
    <w:rsid w:val="005420DE"/>
    <w:rsid w:val="00543707"/>
    <w:rsid w:val="00543EBB"/>
    <w:rsid w:val="00544213"/>
    <w:rsid w:val="005453F3"/>
    <w:rsid w:val="00545549"/>
    <w:rsid w:val="005469F5"/>
    <w:rsid w:val="005518ED"/>
    <w:rsid w:val="00552093"/>
    <w:rsid w:val="00554E4B"/>
    <w:rsid w:val="00555F67"/>
    <w:rsid w:val="005606A4"/>
    <w:rsid w:val="005607B8"/>
    <w:rsid w:val="00560CF5"/>
    <w:rsid w:val="00561792"/>
    <w:rsid w:val="0056272D"/>
    <w:rsid w:val="005629A6"/>
    <w:rsid w:val="0056308E"/>
    <w:rsid w:val="005649BF"/>
    <w:rsid w:val="005650ED"/>
    <w:rsid w:val="00565869"/>
    <w:rsid w:val="00567415"/>
    <w:rsid w:val="00567610"/>
    <w:rsid w:val="00570D9F"/>
    <w:rsid w:val="00571CA8"/>
    <w:rsid w:val="00580793"/>
    <w:rsid w:val="00581470"/>
    <w:rsid w:val="00582087"/>
    <w:rsid w:val="005831DD"/>
    <w:rsid w:val="00584320"/>
    <w:rsid w:val="00587229"/>
    <w:rsid w:val="00587503"/>
    <w:rsid w:val="00590E8D"/>
    <w:rsid w:val="00591511"/>
    <w:rsid w:val="0059331A"/>
    <w:rsid w:val="00596BBA"/>
    <w:rsid w:val="005975C4"/>
    <w:rsid w:val="00597ED8"/>
    <w:rsid w:val="005A2E77"/>
    <w:rsid w:val="005A34D5"/>
    <w:rsid w:val="005A3A3E"/>
    <w:rsid w:val="005A4904"/>
    <w:rsid w:val="005A515A"/>
    <w:rsid w:val="005A704D"/>
    <w:rsid w:val="005B3C6D"/>
    <w:rsid w:val="005B609E"/>
    <w:rsid w:val="005B6DF6"/>
    <w:rsid w:val="005B7B7D"/>
    <w:rsid w:val="005C1948"/>
    <w:rsid w:val="005C263C"/>
    <w:rsid w:val="005C2679"/>
    <w:rsid w:val="005C6EF9"/>
    <w:rsid w:val="005D07C5"/>
    <w:rsid w:val="005D4302"/>
    <w:rsid w:val="005D5A20"/>
    <w:rsid w:val="005D5F19"/>
    <w:rsid w:val="005D6C09"/>
    <w:rsid w:val="005D786C"/>
    <w:rsid w:val="005E049F"/>
    <w:rsid w:val="005E3073"/>
    <w:rsid w:val="005E316A"/>
    <w:rsid w:val="005E57D6"/>
    <w:rsid w:val="005F0108"/>
    <w:rsid w:val="005F0ECC"/>
    <w:rsid w:val="005F21A5"/>
    <w:rsid w:val="005F2470"/>
    <w:rsid w:val="005F28C6"/>
    <w:rsid w:val="005F3F16"/>
    <w:rsid w:val="005F52CC"/>
    <w:rsid w:val="005F6BD4"/>
    <w:rsid w:val="005F7985"/>
    <w:rsid w:val="00600CEB"/>
    <w:rsid w:val="00601D86"/>
    <w:rsid w:val="00602AA1"/>
    <w:rsid w:val="00603A32"/>
    <w:rsid w:val="00604367"/>
    <w:rsid w:val="006044BE"/>
    <w:rsid w:val="0060475F"/>
    <w:rsid w:val="00606A26"/>
    <w:rsid w:val="00607D81"/>
    <w:rsid w:val="00610747"/>
    <w:rsid w:val="0061176E"/>
    <w:rsid w:val="00614CD1"/>
    <w:rsid w:val="0061567B"/>
    <w:rsid w:val="0062152A"/>
    <w:rsid w:val="00623583"/>
    <w:rsid w:val="0062462F"/>
    <w:rsid w:val="00624BA1"/>
    <w:rsid w:val="0062661B"/>
    <w:rsid w:val="006276B8"/>
    <w:rsid w:val="00630118"/>
    <w:rsid w:val="006310AE"/>
    <w:rsid w:val="00632196"/>
    <w:rsid w:val="00633BF2"/>
    <w:rsid w:val="00633F67"/>
    <w:rsid w:val="006345C3"/>
    <w:rsid w:val="00635120"/>
    <w:rsid w:val="006351BE"/>
    <w:rsid w:val="006362F9"/>
    <w:rsid w:val="00636449"/>
    <w:rsid w:val="006373CD"/>
    <w:rsid w:val="006408B1"/>
    <w:rsid w:val="00640B22"/>
    <w:rsid w:val="0064165D"/>
    <w:rsid w:val="006433BD"/>
    <w:rsid w:val="00643784"/>
    <w:rsid w:val="00644A21"/>
    <w:rsid w:val="00645C9F"/>
    <w:rsid w:val="00646A6C"/>
    <w:rsid w:val="006508B9"/>
    <w:rsid w:val="00650CA1"/>
    <w:rsid w:val="00651854"/>
    <w:rsid w:val="006565D8"/>
    <w:rsid w:val="00656B96"/>
    <w:rsid w:val="00657AE5"/>
    <w:rsid w:val="006619B0"/>
    <w:rsid w:val="00662012"/>
    <w:rsid w:val="00662543"/>
    <w:rsid w:val="006626D0"/>
    <w:rsid w:val="00664E8C"/>
    <w:rsid w:val="00665F7C"/>
    <w:rsid w:val="00666DFC"/>
    <w:rsid w:val="00666EBB"/>
    <w:rsid w:val="0066779E"/>
    <w:rsid w:val="00667FA3"/>
    <w:rsid w:val="0067269D"/>
    <w:rsid w:val="00672988"/>
    <w:rsid w:val="00674E6A"/>
    <w:rsid w:val="00676A64"/>
    <w:rsid w:val="00677925"/>
    <w:rsid w:val="00680F46"/>
    <w:rsid w:val="00681E7A"/>
    <w:rsid w:val="00682B53"/>
    <w:rsid w:val="00682F27"/>
    <w:rsid w:val="006846C3"/>
    <w:rsid w:val="00686F6F"/>
    <w:rsid w:val="00690E2E"/>
    <w:rsid w:val="006932E7"/>
    <w:rsid w:val="00693347"/>
    <w:rsid w:val="0069334C"/>
    <w:rsid w:val="00696D63"/>
    <w:rsid w:val="00696FB3"/>
    <w:rsid w:val="006A032F"/>
    <w:rsid w:val="006A1D91"/>
    <w:rsid w:val="006A2E9B"/>
    <w:rsid w:val="006A41AE"/>
    <w:rsid w:val="006A4856"/>
    <w:rsid w:val="006A564B"/>
    <w:rsid w:val="006B1545"/>
    <w:rsid w:val="006B2DA7"/>
    <w:rsid w:val="006B2F4D"/>
    <w:rsid w:val="006B3682"/>
    <w:rsid w:val="006B4498"/>
    <w:rsid w:val="006B48CB"/>
    <w:rsid w:val="006C1445"/>
    <w:rsid w:val="006C4FC1"/>
    <w:rsid w:val="006C529D"/>
    <w:rsid w:val="006D0E6B"/>
    <w:rsid w:val="006D2146"/>
    <w:rsid w:val="006D5BCA"/>
    <w:rsid w:val="006D72CF"/>
    <w:rsid w:val="006E094A"/>
    <w:rsid w:val="006E12B1"/>
    <w:rsid w:val="006E13D1"/>
    <w:rsid w:val="006E4D0C"/>
    <w:rsid w:val="006E5B78"/>
    <w:rsid w:val="006E6BA3"/>
    <w:rsid w:val="006F0914"/>
    <w:rsid w:val="006F1116"/>
    <w:rsid w:val="006F3196"/>
    <w:rsid w:val="006F3C54"/>
    <w:rsid w:val="006F5E64"/>
    <w:rsid w:val="006F60DE"/>
    <w:rsid w:val="006F7914"/>
    <w:rsid w:val="006F7E46"/>
    <w:rsid w:val="00700AB4"/>
    <w:rsid w:val="00700FCA"/>
    <w:rsid w:val="00701645"/>
    <w:rsid w:val="00702D5A"/>
    <w:rsid w:val="00702EF7"/>
    <w:rsid w:val="00703989"/>
    <w:rsid w:val="007042E9"/>
    <w:rsid w:val="00704E43"/>
    <w:rsid w:val="00705A22"/>
    <w:rsid w:val="00705DD0"/>
    <w:rsid w:val="007069BE"/>
    <w:rsid w:val="0071118B"/>
    <w:rsid w:val="00711E13"/>
    <w:rsid w:val="00712EDA"/>
    <w:rsid w:val="007136D0"/>
    <w:rsid w:val="007155A9"/>
    <w:rsid w:val="007158E1"/>
    <w:rsid w:val="00715D07"/>
    <w:rsid w:val="0071705B"/>
    <w:rsid w:val="00720505"/>
    <w:rsid w:val="007236A3"/>
    <w:rsid w:val="007239B6"/>
    <w:rsid w:val="0072490A"/>
    <w:rsid w:val="0072517D"/>
    <w:rsid w:val="00726878"/>
    <w:rsid w:val="0073124A"/>
    <w:rsid w:val="00733893"/>
    <w:rsid w:val="00734A05"/>
    <w:rsid w:val="00735C6F"/>
    <w:rsid w:val="007462FA"/>
    <w:rsid w:val="00753BB5"/>
    <w:rsid w:val="00756832"/>
    <w:rsid w:val="00756A01"/>
    <w:rsid w:val="007618DE"/>
    <w:rsid w:val="007626D0"/>
    <w:rsid w:val="007633BC"/>
    <w:rsid w:val="007651CA"/>
    <w:rsid w:val="00767519"/>
    <w:rsid w:val="0076762A"/>
    <w:rsid w:val="007704E1"/>
    <w:rsid w:val="00772569"/>
    <w:rsid w:val="00772E8C"/>
    <w:rsid w:val="007736D3"/>
    <w:rsid w:val="0077500F"/>
    <w:rsid w:val="0077548E"/>
    <w:rsid w:val="00777315"/>
    <w:rsid w:val="00780919"/>
    <w:rsid w:val="007826C8"/>
    <w:rsid w:val="00784190"/>
    <w:rsid w:val="0078457B"/>
    <w:rsid w:val="00784756"/>
    <w:rsid w:val="00784C55"/>
    <w:rsid w:val="0078539D"/>
    <w:rsid w:val="007856C1"/>
    <w:rsid w:val="00787051"/>
    <w:rsid w:val="0079018D"/>
    <w:rsid w:val="00791A00"/>
    <w:rsid w:val="00792CEE"/>
    <w:rsid w:val="007A138F"/>
    <w:rsid w:val="007A1640"/>
    <w:rsid w:val="007A39DF"/>
    <w:rsid w:val="007A43ED"/>
    <w:rsid w:val="007A4BDD"/>
    <w:rsid w:val="007A72EE"/>
    <w:rsid w:val="007B0397"/>
    <w:rsid w:val="007B128D"/>
    <w:rsid w:val="007B3502"/>
    <w:rsid w:val="007B44ED"/>
    <w:rsid w:val="007B491A"/>
    <w:rsid w:val="007B5370"/>
    <w:rsid w:val="007B61F5"/>
    <w:rsid w:val="007B63FA"/>
    <w:rsid w:val="007B67BD"/>
    <w:rsid w:val="007B7496"/>
    <w:rsid w:val="007C0802"/>
    <w:rsid w:val="007C12BE"/>
    <w:rsid w:val="007C2739"/>
    <w:rsid w:val="007C4B0F"/>
    <w:rsid w:val="007C4DAD"/>
    <w:rsid w:val="007C5830"/>
    <w:rsid w:val="007C5DB8"/>
    <w:rsid w:val="007C67B3"/>
    <w:rsid w:val="007C6CA2"/>
    <w:rsid w:val="007D05B2"/>
    <w:rsid w:val="007D0C44"/>
    <w:rsid w:val="007D1972"/>
    <w:rsid w:val="007D1F33"/>
    <w:rsid w:val="007D3307"/>
    <w:rsid w:val="007D5ABC"/>
    <w:rsid w:val="007D5E27"/>
    <w:rsid w:val="007D6F64"/>
    <w:rsid w:val="007E5A8A"/>
    <w:rsid w:val="007E79C5"/>
    <w:rsid w:val="007F2635"/>
    <w:rsid w:val="007F43BC"/>
    <w:rsid w:val="007F4740"/>
    <w:rsid w:val="008006C6"/>
    <w:rsid w:val="0080153E"/>
    <w:rsid w:val="0080742D"/>
    <w:rsid w:val="0081151E"/>
    <w:rsid w:val="00812498"/>
    <w:rsid w:val="008127E6"/>
    <w:rsid w:val="0081336E"/>
    <w:rsid w:val="00813928"/>
    <w:rsid w:val="008170C3"/>
    <w:rsid w:val="0081767B"/>
    <w:rsid w:val="00820DC7"/>
    <w:rsid w:val="00821116"/>
    <w:rsid w:val="00821698"/>
    <w:rsid w:val="00821E1F"/>
    <w:rsid w:val="008221FE"/>
    <w:rsid w:val="00822BF5"/>
    <w:rsid w:val="0082419F"/>
    <w:rsid w:val="00824894"/>
    <w:rsid w:val="008251EE"/>
    <w:rsid w:val="00826C7B"/>
    <w:rsid w:val="00826DD9"/>
    <w:rsid w:val="00826E01"/>
    <w:rsid w:val="008277A8"/>
    <w:rsid w:val="008278B6"/>
    <w:rsid w:val="00827C60"/>
    <w:rsid w:val="008307ED"/>
    <w:rsid w:val="0083350F"/>
    <w:rsid w:val="0083363F"/>
    <w:rsid w:val="00834358"/>
    <w:rsid w:val="008346BD"/>
    <w:rsid w:val="00834F58"/>
    <w:rsid w:val="00835AC4"/>
    <w:rsid w:val="00835E2C"/>
    <w:rsid w:val="00836B7A"/>
    <w:rsid w:val="008409AA"/>
    <w:rsid w:val="00840E0E"/>
    <w:rsid w:val="00840FB8"/>
    <w:rsid w:val="00842819"/>
    <w:rsid w:val="00843A7A"/>
    <w:rsid w:val="008447F5"/>
    <w:rsid w:val="00846292"/>
    <w:rsid w:val="00846486"/>
    <w:rsid w:val="008506E1"/>
    <w:rsid w:val="008515EE"/>
    <w:rsid w:val="008528D3"/>
    <w:rsid w:val="00852CD0"/>
    <w:rsid w:val="00854553"/>
    <w:rsid w:val="008545E6"/>
    <w:rsid w:val="008551AC"/>
    <w:rsid w:val="00855B86"/>
    <w:rsid w:val="00860874"/>
    <w:rsid w:val="00862008"/>
    <w:rsid w:val="00862720"/>
    <w:rsid w:val="008628C8"/>
    <w:rsid w:val="00862B2A"/>
    <w:rsid w:val="008630B9"/>
    <w:rsid w:val="00863F37"/>
    <w:rsid w:val="0086406B"/>
    <w:rsid w:val="00864C8C"/>
    <w:rsid w:val="00864DD5"/>
    <w:rsid w:val="00867651"/>
    <w:rsid w:val="008733B1"/>
    <w:rsid w:val="008743F3"/>
    <w:rsid w:val="0087444A"/>
    <w:rsid w:val="00875139"/>
    <w:rsid w:val="00875410"/>
    <w:rsid w:val="00881AE0"/>
    <w:rsid w:val="008824EF"/>
    <w:rsid w:val="008835F6"/>
    <w:rsid w:val="00883D4D"/>
    <w:rsid w:val="008850BA"/>
    <w:rsid w:val="00885876"/>
    <w:rsid w:val="008859BC"/>
    <w:rsid w:val="00886185"/>
    <w:rsid w:val="008861D9"/>
    <w:rsid w:val="0088638C"/>
    <w:rsid w:val="008908E5"/>
    <w:rsid w:val="00891216"/>
    <w:rsid w:val="00894FDC"/>
    <w:rsid w:val="008A16F9"/>
    <w:rsid w:val="008A1D3E"/>
    <w:rsid w:val="008A350A"/>
    <w:rsid w:val="008A4B16"/>
    <w:rsid w:val="008A4D63"/>
    <w:rsid w:val="008A6D62"/>
    <w:rsid w:val="008A7A69"/>
    <w:rsid w:val="008B3B51"/>
    <w:rsid w:val="008B4057"/>
    <w:rsid w:val="008B4145"/>
    <w:rsid w:val="008B5290"/>
    <w:rsid w:val="008C2CFD"/>
    <w:rsid w:val="008C603A"/>
    <w:rsid w:val="008C71C8"/>
    <w:rsid w:val="008D167D"/>
    <w:rsid w:val="008D4B58"/>
    <w:rsid w:val="008D4B8A"/>
    <w:rsid w:val="008D7D7B"/>
    <w:rsid w:val="008E0F52"/>
    <w:rsid w:val="008E1882"/>
    <w:rsid w:val="008E2316"/>
    <w:rsid w:val="008E34BE"/>
    <w:rsid w:val="008E42F4"/>
    <w:rsid w:val="008E5657"/>
    <w:rsid w:val="008E5E51"/>
    <w:rsid w:val="008F00DB"/>
    <w:rsid w:val="008F1264"/>
    <w:rsid w:val="008F47C6"/>
    <w:rsid w:val="009006A2"/>
    <w:rsid w:val="0090102B"/>
    <w:rsid w:val="00901326"/>
    <w:rsid w:val="00901448"/>
    <w:rsid w:val="00903545"/>
    <w:rsid w:val="00905C47"/>
    <w:rsid w:val="00906379"/>
    <w:rsid w:val="009101EA"/>
    <w:rsid w:val="009106FC"/>
    <w:rsid w:val="009118BB"/>
    <w:rsid w:val="00913AC1"/>
    <w:rsid w:val="00915B81"/>
    <w:rsid w:val="00915D6B"/>
    <w:rsid w:val="009160DF"/>
    <w:rsid w:val="009162C7"/>
    <w:rsid w:val="00916EC2"/>
    <w:rsid w:val="009213BD"/>
    <w:rsid w:val="00924627"/>
    <w:rsid w:val="009250A8"/>
    <w:rsid w:val="00925BE6"/>
    <w:rsid w:val="00925F86"/>
    <w:rsid w:val="00926F61"/>
    <w:rsid w:val="00930884"/>
    <w:rsid w:val="0093123D"/>
    <w:rsid w:val="00933040"/>
    <w:rsid w:val="009330E9"/>
    <w:rsid w:val="00933A64"/>
    <w:rsid w:val="00935D15"/>
    <w:rsid w:val="009411FB"/>
    <w:rsid w:val="009414A9"/>
    <w:rsid w:val="009414D9"/>
    <w:rsid w:val="00941B71"/>
    <w:rsid w:val="009421AD"/>
    <w:rsid w:val="0094221C"/>
    <w:rsid w:val="0094409C"/>
    <w:rsid w:val="00944159"/>
    <w:rsid w:val="00944816"/>
    <w:rsid w:val="009449B2"/>
    <w:rsid w:val="00944A82"/>
    <w:rsid w:val="00946C4D"/>
    <w:rsid w:val="00951C92"/>
    <w:rsid w:val="0095285B"/>
    <w:rsid w:val="00953FE9"/>
    <w:rsid w:val="0095481C"/>
    <w:rsid w:val="009567E6"/>
    <w:rsid w:val="00957076"/>
    <w:rsid w:val="00957132"/>
    <w:rsid w:val="009576FD"/>
    <w:rsid w:val="009578EB"/>
    <w:rsid w:val="009578FF"/>
    <w:rsid w:val="00960446"/>
    <w:rsid w:val="009610ED"/>
    <w:rsid w:val="009633BB"/>
    <w:rsid w:val="0096485F"/>
    <w:rsid w:val="00967354"/>
    <w:rsid w:val="00971592"/>
    <w:rsid w:val="00971DDF"/>
    <w:rsid w:val="009731D6"/>
    <w:rsid w:val="0097404E"/>
    <w:rsid w:val="00974746"/>
    <w:rsid w:val="00975119"/>
    <w:rsid w:val="00976F04"/>
    <w:rsid w:val="009777F4"/>
    <w:rsid w:val="00977AD8"/>
    <w:rsid w:val="00980A10"/>
    <w:rsid w:val="00981130"/>
    <w:rsid w:val="009821B6"/>
    <w:rsid w:val="00983D46"/>
    <w:rsid w:val="00983DCA"/>
    <w:rsid w:val="00985EF7"/>
    <w:rsid w:val="00986CF9"/>
    <w:rsid w:val="00990C0E"/>
    <w:rsid w:val="00990D75"/>
    <w:rsid w:val="00991093"/>
    <w:rsid w:val="0099163B"/>
    <w:rsid w:val="00992343"/>
    <w:rsid w:val="0099493B"/>
    <w:rsid w:val="00996306"/>
    <w:rsid w:val="00996744"/>
    <w:rsid w:val="00997CF4"/>
    <w:rsid w:val="009A1169"/>
    <w:rsid w:val="009A3789"/>
    <w:rsid w:val="009A5822"/>
    <w:rsid w:val="009A6919"/>
    <w:rsid w:val="009A6AC7"/>
    <w:rsid w:val="009B0408"/>
    <w:rsid w:val="009B0843"/>
    <w:rsid w:val="009B1E47"/>
    <w:rsid w:val="009B2CED"/>
    <w:rsid w:val="009B7A72"/>
    <w:rsid w:val="009B7BB8"/>
    <w:rsid w:val="009C126A"/>
    <w:rsid w:val="009C171B"/>
    <w:rsid w:val="009C1D4C"/>
    <w:rsid w:val="009C2DD2"/>
    <w:rsid w:val="009C441F"/>
    <w:rsid w:val="009C4A07"/>
    <w:rsid w:val="009C4B8E"/>
    <w:rsid w:val="009C51D5"/>
    <w:rsid w:val="009C599A"/>
    <w:rsid w:val="009C650E"/>
    <w:rsid w:val="009C70DB"/>
    <w:rsid w:val="009D19BC"/>
    <w:rsid w:val="009D2348"/>
    <w:rsid w:val="009D2F0C"/>
    <w:rsid w:val="009D3578"/>
    <w:rsid w:val="009D3A5F"/>
    <w:rsid w:val="009D5193"/>
    <w:rsid w:val="009D5C32"/>
    <w:rsid w:val="009D6472"/>
    <w:rsid w:val="009D79F4"/>
    <w:rsid w:val="009E3CD1"/>
    <w:rsid w:val="009E5AF5"/>
    <w:rsid w:val="009E5EB5"/>
    <w:rsid w:val="009E74F0"/>
    <w:rsid w:val="009F0768"/>
    <w:rsid w:val="009F17CE"/>
    <w:rsid w:val="009F7867"/>
    <w:rsid w:val="009F7D66"/>
    <w:rsid w:val="00A00BD2"/>
    <w:rsid w:val="00A00E56"/>
    <w:rsid w:val="00A027F3"/>
    <w:rsid w:val="00A03978"/>
    <w:rsid w:val="00A07E08"/>
    <w:rsid w:val="00A1179A"/>
    <w:rsid w:val="00A12798"/>
    <w:rsid w:val="00A12B8F"/>
    <w:rsid w:val="00A142A2"/>
    <w:rsid w:val="00A153BE"/>
    <w:rsid w:val="00A15DEE"/>
    <w:rsid w:val="00A167B5"/>
    <w:rsid w:val="00A16DBE"/>
    <w:rsid w:val="00A178EA"/>
    <w:rsid w:val="00A17C4F"/>
    <w:rsid w:val="00A20A39"/>
    <w:rsid w:val="00A2352E"/>
    <w:rsid w:val="00A238BD"/>
    <w:rsid w:val="00A2459D"/>
    <w:rsid w:val="00A24E23"/>
    <w:rsid w:val="00A25F05"/>
    <w:rsid w:val="00A311AE"/>
    <w:rsid w:val="00A312A6"/>
    <w:rsid w:val="00A3130E"/>
    <w:rsid w:val="00A324CF"/>
    <w:rsid w:val="00A32E8B"/>
    <w:rsid w:val="00A32ED6"/>
    <w:rsid w:val="00A344A5"/>
    <w:rsid w:val="00A346C3"/>
    <w:rsid w:val="00A42D07"/>
    <w:rsid w:val="00A450C0"/>
    <w:rsid w:val="00A45468"/>
    <w:rsid w:val="00A45EF2"/>
    <w:rsid w:val="00A4791B"/>
    <w:rsid w:val="00A50A48"/>
    <w:rsid w:val="00A50A5D"/>
    <w:rsid w:val="00A51522"/>
    <w:rsid w:val="00A51573"/>
    <w:rsid w:val="00A51A5E"/>
    <w:rsid w:val="00A52895"/>
    <w:rsid w:val="00A53DA0"/>
    <w:rsid w:val="00A5765D"/>
    <w:rsid w:val="00A607CB"/>
    <w:rsid w:val="00A6351F"/>
    <w:rsid w:val="00A65A70"/>
    <w:rsid w:val="00A66F36"/>
    <w:rsid w:val="00A676D9"/>
    <w:rsid w:val="00A67EFC"/>
    <w:rsid w:val="00A7031E"/>
    <w:rsid w:val="00A71140"/>
    <w:rsid w:val="00A714AA"/>
    <w:rsid w:val="00A73B26"/>
    <w:rsid w:val="00A74692"/>
    <w:rsid w:val="00A7618B"/>
    <w:rsid w:val="00A7640B"/>
    <w:rsid w:val="00A7778B"/>
    <w:rsid w:val="00A77C29"/>
    <w:rsid w:val="00A803BC"/>
    <w:rsid w:val="00A80969"/>
    <w:rsid w:val="00A86EA7"/>
    <w:rsid w:val="00A91C7B"/>
    <w:rsid w:val="00A92776"/>
    <w:rsid w:val="00A93181"/>
    <w:rsid w:val="00A938E6"/>
    <w:rsid w:val="00A93CCF"/>
    <w:rsid w:val="00A95BD5"/>
    <w:rsid w:val="00A96F78"/>
    <w:rsid w:val="00AA06F4"/>
    <w:rsid w:val="00AA1087"/>
    <w:rsid w:val="00AA25A9"/>
    <w:rsid w:val="00AA26D9"/>
    <w:rsid w:val="00AA32EE"/>
    <w:rsid w:val="00AA51AD"/>
    <w:rsid w:val="00AA591E"/>
    <w:rsid w:val="00AA65C9"/>
    <w:rsid w:val="00AA750D"/>
    <w:rsid w:val="00AB0A32"/>
    <w:rsid w:val="00AB0E56"/>
    <w:rsid w:val="00AB1FE4"/>
    <w:rsid w:val="00AB3A15"/>
    <w:rsid w:val="00AB4ECC"/>
    <w:rsid w:val="00AB6601"/>
    <w:rsid w:val="00AB674E"/>
    <w:rsid w:val="00AC02C1"/>
    <w:rsid w:val="00AC0AB6"/>
    <w:rsid w:val="00AC10AD"/>
    <w:rsid w:val="00AC1E55"/>
    <w:rsid w:val="00AC429F"/>
    <w:rsid w:val="00AC60B4"/>
    <w:rsid w:val="00AD00C5"/>
    <w:rsid w:val="00AD165F"/>
    <w:rsid w:val="00AD2794"/>
    <w:rsid w:val="00AD2DC5"/>
    <w:rsid w:val="00AD3455"/>
    <w:rsid w:val="00AD3CAD"/>
    <w:rsid w:val="00AD5052"/>
    <w:rsid w:val="00AD69FF"/>
    <w:rsid w:val="00AD702B"/>
    <w:rsid w:val="00AD72E6"/>
    <w:rsid w:val="00AD7C95"/>
    <w:rsid w:val="00AE3DE1"/>
    <w:rsid w:val="00AE79D3"/>
    <w:rsid w:val="00AF2D54"/>
    <w:rsid w:val="00AF3458"/>
    <w:rsid w:val="00AF3F7B"/>
    <w:rsid w:val="00AF42B4"/>
    <w:rsid w:val="00AF4B8A"/>
    <w:rsid w:val="00AF4F1B"/>
    <w:rsid w:val="00AF5EC6"/>
    <w:rsid w:val="00AF6E8A"/>
    <w:rsid w:val="00AF7213"/>
    <w:rsid w:val="00AF7D92"/>
    <w:rsid w:val="00B011CC"/>
    <w:rsid w:val="00B026BD"/>
    <w:rsid w:val="00B04048"/>
    <w:rsid w:val="00B04F3D"/>
    <w:rsid w:val="00B05702"/>
    <w:rsid w:val="00B06DD9"/>
    <w:rsid w:val="00B07CD6"/>
    <w:rsid w:val="00B07E52"/>
    <w:rsid w:val="00B10010"/>
    <w:rsid w:val="00B11775"/>
    <w:rsid w:val="00B1302D"/>
    <w:rsid w:val="00B132A7"/>
    <w:rsid w:val="00B1513F"/>
    <w:rsid w:val="00B1746F"/>
    <w:rsid w:val="00B20725"/>
    <w:rsid w:val="00B2175F"/>
    <w:rsid w:val="00B21ECF"/>
    <w:rsid w:val="00B245DA"/>
    <w:rsid w:val="00B2628E"/>
    <w:rsid w:val="00B266B0"/>
    <w:rsid w:val="00B27921"/>
    <w:rsid w:val="00B3000E"/>
    <w:rsid w:val="00B326A8"/>
    <w:rsid w:val="00B329EB"/>
    <w:rsid w:val="00B32D52"/>
    <w:rsid w:val="00B33508"/>
    <w:rsid w:val="00B3377E"/>
    <w:rsid w:val="00B34605"/>
    <w:rsid w:val="00B35DA4"/>
    <w:rsid w:val="00B36B1F"/>
    <w:rsid w:val="00B40A96"/>
    <w:rsid w:val="00B422A7"/>
    <w:rsid w:val="00B42A32"/>
    <w:rsid w:val="00B42FA6"/>
    <w:rsid w:val="00B4399E"/>
    <w:rsid w:val="00B43A16"/>
    <w:rsid w:val="00B45CE1"/>
    <w:rsid w:val="00B46A75"/>
    <w:rsid w:val="00B500CD"/>
    <w:rsid w:val="00B51709"/>
    <w:rsid w:val="00B5239C"/>
    <w:rsid w:val="00B53893"/>
    <w:rsid w:val="00B548C2"/>
    <w:rsid w:val="00B55428"/>
    <w:rsid w:val="00B570BF"/>
    <w:rsid w:val="00B63337"/>
    <w:rsid w:val="00B6369F"/>
    <w:rsid w:val="00B639D7"/>
    <w:rsid w:val="00B64489"/>
    <w:rsid w:val="00B64898"/>
    <w:rsid w:val="00B67805"/>
    <w:rsid w:val="00B7267A"/>
    <w:rsid w:val="00B726FF"/>
    <w:rsid w:val="00B72AA4"/>
    <w:rsid w:val="00B737F4"/>
    <w:rsid w:val="00B76BCD"/>
    <w:rsid w:val="00B76EE9"/>
    <w:rsid w:val="00B77880"/>
    <w:rsid w:val="00B80D90"/>
    <w:rsid w:val="00B82613"/>
    <w:rsid w:val="00B828B5"/>
    <w:rsid w:val="00B84E9C"/>
    <w:rsid w:val="00B85522"/>
    <w:rsid w:val="00B85DD2"/>
    <w:rsid w:val="00B90E2A"/>
    <w:rsid w:val="00B90F2A"/>
    <w:rsid w:val="00B9198D"/>
    <w:rsid w:val="00B93008"/>
    <w:rsid w:val="00B9406D"/>
    <w:rsid w:val="00B94BA7"/>
    <w:rsid w:val="00B94E0E"/>
    <w:rsid w:val="00B96259"/>
    <w:rsid w:val="00B97CA3"/>
    <w:rsid w:val="00BA1AB0"/>
    <w:rsid w:val="00BA2110"/>
    <w:rsid w:val="00BA76A9"/>
    <w:rsid w:val="00BB3E2B"/>
    <w:rsid w:val="00BB5D1C"/>
    <w:rsid w:val="00BB6552"/>
    <w:rsid w:val="00BB6B9B"/>
    <w:rsid w:val="00BB754F"/>
    <w:rsid w:val="00BC07D4"/>
    <w:rsid w:val="00BC0A5D"/>
    <w:rsid w:val="00BC0BE3"/>
    <w:rsid w:val="00BC1AD9"/>
    <w:rsid w:val="00BC32E7"/>
    <w:rsid w:val="00BC58B9"/>
    <w:rsid w:val="00BD2081"/>
    <w:rsid w:val="00BD3E68"/>
    <w:rsid w:val="00BD598A"/>
    <w:rsid w:val="00BD70D6"/>
    <w:rsid w:val="00BD75B4"/>
    <w:rsid w:val="00BD7D14"/>
    <w:rsid w:val="00BE02B4"/>
    <w:rsid w:val="00BE631E"/>
    <w:rsid w:val="00BF0CCF"/>
    <w:rsid w:val="00BF0FC5"/>
    <w:rsid w:val="00BF10BC"/>
    <w:rsid w:val="00BF21AC"/>
    <w:rsid w:val="00BF2E53"/>
    <w:rsid w:val="00BF3669"/>
    <w:rsid w:val="00BF3C0D"/>
    <w:rsid w:val="00BF7C80"/>
    <w:rsid w:val="00C011A3"/>
    <w:rsid w:val="00C03309"/>
    <w:rsid w:val="00C072FE"/>
    <w:rsid w:val="00C12E39"/>
    <w:rsid w:val="00C14164"/>
    <w:rsid w:val="00C14851"/>
    <w:rsid w:val="00C15D8E"/>
    <w:rsid w:val="00C17012"/>
    <w:rsid w:val="00C178FB"/>
    <w:rsid w:val="00C257B7"/>
    <w:rsid w:val="00C272E8"/>
    <w:rsid w:val="00C2782B"/>
    <w:rsid w:val="00C27859"/>
    <w:rsid w:val="00C32035"/>
    <w:rsid w:val="00C33359"/>
    <w:rsid w:val="00C348D6"/>
    <w:rsid w:val="00C36E34"/>
    <w:rsid w:val="00C404EE"/>
    <w:rsid w:val="00C4061A"/>
    <w:rsid w:val="00C4171B"/>
    <w:rsid w:val="00C42689"/>
    <w:rsid w:val="00C42988"/>
    <w:rsid w:val="00C42BD4"/>
    <w:rsid w:val="00C43FF0"/>
    <w:rsid w:val="00C44641"/>
    <w:rsid w:val="00C45EF5"/>
    <w:rsid w:val="00C46B7E"/>
    <w:rsid w:val="00C50A4E"/>
    <w:rsid w:val="00C520B1"/>
    <w:rsid w:val="00C522D6"/>
    <w:rsid w:val="00C5316B"/>
    <w:rsid w:val="00C54020"/>
    <w:rsid w:val="00C545C5"/>
    <w:rsid w:val="00C54CEA"/>
    <w:rsid w:val="00C61D4B"/>
    <w:rsid w:val="00C62B0A"/>
    <w:rsid w:val="00C63F08"/>
    <w:rsid w:val="00C6528C"/>
    <w:rsid w:val="00C661E8"/>
    <w:rsid w:val="00C6691A"/>
    <w:rsid w:val="00C70084"/>
    <w:rsid w:val="00C7235B"/>
    <w:rsid w:val="00C72E18"/>
    <w:rsid w:val="00C7380B"/>
    <w:rsid w:val="00C74421"/>
    <w:rsid w:val="00C75F2F"/>
    <w:rsid w:val="00C75FEE"/>
    <w:rsid w:val="00C76F1D"/>
    <w:rsid w:val="00C77D26"/>
    <w:rsid w:val="00C82BBB"/>
    <w:rsid w:val="00C84D39"/>
    <w:rsid w:val="00C85277"/>
    <w:rsid w:val="00C85D76"/>
    <w:rsid w:val="00C873AC"/>
    <w:rsid w:val="00C9106A"/>
    <w:rsid w:val="00C933E7"/>
    <w:rsid w:val="00C93462"/>
    <w:rsid w:val="00C94209"/>
    <w:rsid w:val="00C94384"/>
    <w:rsid w:val="00C94A34"/>
    <w:rsid w:val="00C94C2B"/>
    <w:rsid w:val="00C96F79"/>
    <w:rsid w:val="00C97CF9"/>
    <w:rsid w:val="00CA17DD"/>
    <w:rsid w:val="00CA1863"/>
    <w:rsid w:val="00CA2DB2"/>
    <w:rsid w:val="00CA391D"/>
    <w:rsid w:val="00CA3ACD"/>
    <w:rsid w:val="00CA4F8B"/>
    <w:rsid w:val="00CA5295"/>
    <w:rsid w:val="00CA6034"/>
    <w:rsid w:val="00CB09DA"/>
    <w:rsid w:val="00CB0BD9"/>
    <w:rsid w:val="00CB19E0"/>
    <w:rsid w:val="00CB1CAC"/>
    <w:rsid w:val="00CB1DE8"/>
    <w:rsid w:val="00CB1E3B"/>
    <w:rsid w:val="00CB1F1D"/>
    <w:rsid w:val="00CB71F8"/>
    <w:rsid w:val="00CC26DB"/>
    <w:rsid w:val="00CC3DAA"/>
    <w:rsid w:val="00CC46EB"/>
    <w:rsid w:val="00CC4C2C"/>
    <w:rsid w:val="00CC5057"/>
    <w:rsid w:val="00CD078F"/>
    <w:rsid w:val="00CD121E"/>
    <w:rsid w:val="00CD3ED8"/>
    <w:rsid w:val="00CD464F"/>
    <w:rsid w:val="00CD761D"/>
    <w:rsid w:val="00CD76B5"/>
    <w:rsid w:val="00CD7E3B"/>
    <w:rsid w:val="00CE2346"/>
    <w:rsid w:val="00CE4814"/>
    <w:rsid w:val="00CE6F0F"/>
    <w:rsid w:val="00CF002F"/>
    <w:rsid w:val="00CF0246"/>
    <w:rsid w:val="00CF2483"/>
    <w:rsid w:val="00CF24E2"/>
    <w:rsid w:val="00CF4ABD"/>
    <w:rsid w:val="00CF5A53"/>
    <w:rsid w:val="00CF5D28"/>
    <w:rsid w:val="00CF6F1E"/>
    <w:rsid w:val="00D001F9"/>
    <w:rsid w:val="00D0036E"/>
    <w:rsid w:val="00D00BB7"/>
    <w:rsid w:val="00D01EAD"/>
    <w:rsid w:val="00D035B9"/>
    <w:rsid w:val="00D0518B"/>
    <w:rsid w:val="00D060FF"/>
    <w:rsid w:val="00D064E8"/>
    <w:rsid w:val="00D06572"/>
    <w:rsid w:val="00D065CD"/>
    <w:rsid w:val="00D12325"/>
    <w:rsid w:val="00D14487"/>
    <w:rsid w:val="00D15E7E"/>
    <w:rsid w:val="00D20016"/>
    <w:rsid w:val="00D2279F"/>
    <w:rsid w:val="00D22AF1"/>
    <w:rsid w:val="00D22E93"/>
    <w:rsid w:val="00D242DA"/>
    <w:rsid w:val="00D26448"/>
    <w:rsid w:val="00D264CE"/>
    <w:rsid w:val="00D26670"/>
    <w:rsid w:val="00D26CFD"/>
    <w:rsid w:val="00D27B8B"/>
    <w:rsid w:val="00D31B6E"/>
    <w:rsid w:val="00D3232B"/>
    <w:rsid w:val="00D3239F"/>
    <w:rsid w:val="00D324A4"/>
    <w:rsid w:val="00D328F6"/>
    <w:rsid w:val="00D3462C"/>
    <w:rsid w:val="00D35198"/>
    <w:rsid w:val="00D3584B"/>
    <w:rsid w:val="00D36519"/>
    <w:rsid w:val="00D3688C"/>
    <w:rsid w:val="00D42240"/>
    <w:rsid w:val="00D427C3"/>
    <w:rsid w:val="00D42EB8"/>
    <w:rsid w:val="00D44932"/>
    <w:rsid w:val="00D46111"/>
    <w:rsid w:val="00D47C16"/>
    <w:rsid w:val="00D502AF"/>
    <w:rsid w:val="00D50764"/>
    <w:rsid w:val="00D50C12"/>
    <w:rsid w:val="00D51A77"/>
    <w:rsid w:val="00D52498"/>
    <w:rsid w:val="00D52EEA"/>
    <w:rsid w:val="00D53830"/>
    <w:rsid w:val="00D55889"/>
    <w:rsid w:val="00D57AF0"/>
    <w:rsid w:val="00D57D27"/>
    <w:rsid w:val="00D62ECD"/>
    <w:rsid w:val="00D64426"/>
    <w:rsid w:val="00D67BC5"/>
    <w:rsid w:val="00D7021B"/>
    <w:rsid w:val="00D70D33"/>
    <w:rsid w:val="00D73077"/>
    <w:rsid w:val="00D73C57"/>
    <w:rsid w:val="00D742FF"/>
    <w:rsid w:val="00D758B3"/>
    <w:rsid w:val="00D76ADC"/>
    <w:rsid w:val="00D76D05"/>
    <w:rsid w:val="00D77413"/>
    <w:rsid w:val="00D81F10"/>
    <w:rsid w:val="00D84A57"/>
    <w:rsid w:val="00D874DF"/>
    <w:rsid w:val="00D87A12"/>
    <w:rsid w:val="00D90495"/>
    <w:rsid w:val="00D912E2"/>
    <w:rsid w:val="00D91368"/>
    <w:rsid w:val="00D930E1"/>
    <w:rsid w:val="00D9415C"/>
    <w:rsid w:val="00D942CC"/>
    <w:rsid w:val="00D94D87"/>
    <w:rsid w:val="00D962DC"/>
    <w:rsid w:val="00DA180C"/>
    <w:rsid w:val="00DA451D"/>
    <w:rsid w:val="00DA50BE"/>
    <w:rsid w:val="00DA56DB"/>
    <w:rsid w:val="00DA6452"/>
    <w:rsid w:val="00DA6FE9"/>
    <w:rsid w:val="00DA7925"/>
    <w:rsid w:val="00DB0AB8"/>
    <w:rsid w:val="00DB0D2A"/>
    <w:rsid w:val="00DB1DAB"/>
    <w:rsid w:val="00DB39D4"/>
    <w:rsid w:val="00DB3A47"/>
    <w:rsid w:val="00DB4E06"/>
    <w:rsid w:val="00DB6A80"/>
    <w:rsid w:val="00DB6C06"/>
    <w:rsid w:val="00DB7B06"/>
    <w:rsid w:val="00DB7E2A"/>
    <w:rsid w:val="00DC0551"/>
    <w:rsid w:val="00DC129F"/>
    <w:rsid w:val="00DC3A9D"/>
    <w:rsid w:val="00DC4EC1"/>
    <w:rsid w:val="00DC51EB"/>
    <w:rsid w:val="00DC6C1E"/>
    <w:rsid w:val="00DC7951"/>
    <w:rsid w:val="00DD1C4B"/>
    <w:rsid w:val="00DD1F7B"/>
    <w:rsid w:val="00DD229E"/>
    <w:rsid w:val="00DD55E0"/>
    <w:rsid w:val="00DE1904"/>
    <w:rsid w:val="00DE3DBB"/>
    <w:rsid w:val="00DE43A2"/>
    <w:rsid w:val="00DE4A74"/>
    <w:rsid w:val="00DE541C"/>
    <w:rsid w:val="00DE7256"/>
    <w:rsid w:val="00DE737B"/>
    <w:rsid w:val="00DF0E32"/>
    <w:rsid w:val="00DF100B"/>
    <w:rsid w:val="00DF3F71"/>
    <w:rsid w:val="00DF4359"/>
    <w:rsid w:val="00DF6181"/>
    <w:rsid w:val="00E03A76"/>
    <w:rsid w:val="00E0576C"/>
    <w:rsid w:val="00E068BC"/>
    <w:rsid w:val="00E073F0"/>
    <w:rsid w:val="00E10761"/>
    <w:rsid w:val="00E11D7A"/>
    <w:rsid w:val="00E11EEB"/>
    <w:rsid w:val="00E128F2"/>
    <w:rsid w:val="00E16463"/>
    <w:rsid w:val="00E20B83"/>
    <w:rsid w:val="00E2128D"/>
    <w:rsid w:val="00E217B4"/>
    <w:rsid w:val="00E26727"/>
    <w:rsid w:val="00E26970"/>
    <w:rsid w:val="00E27749"/>
    <w:rsid w:val="00E27791"/>
    <w:rsid w:val="00E319DB"/>
    <w:rsid w:val="00E31AFC"/>
    <w:rsid w:val="00E3409E"/>
    <w:rsid w:val="00E34F76"/>
    <w:rsid w:val="00E37BE5"/>
    <w:rsid w:val="00E418A7"/>
    <w:rsid w:val="00E41A27"/>
    <w:rsid w:val="00E44B66"/>
    <w:rsid w:val="00E44EDD"/>
    <w:rsid w:val="00E4608B"/>
    <w:rsid w:val="00E501D3"/>
    <w:rsid w:val="00E520A7"/>
    <w:rsid w:val="00E53A01"/>
    <w:rsid w:val="00E541B0"/>
    <w:rsid w:val="00E564C4"/>
    <w:rsid w:val="00E567C9"/>
    <w:rsid w:val="00E604C4"/>
    <w:rsid w:val="00E60809"/>
    <w:rsid w:val="00E61300"/>
    <w:rsid w:val="00E635B9"/>
    <w:rsid w:val="00E65D15"/>
    <w:rsid w:val="00E660DF"/>
    <w:rsid w:val="00E67EE5"/>
    <w:rsid w:val="00E7013A"/>
    <w:rsid w:val="00E74F5D"/>
    <w:rsid w:val="00E74F79"/>
    <w:rsid w:val="00E7602A"/>
    <w:rsid w:val="00E76034"/>
    <w:rsid w:val="00E80440"/>
    <w:rsid w:val="00E817E0"/>
    <w:rsid w:val="00E82EE4"/>
    <w:rsid w:val="00E831E7"/>
    <w:rsid w:val="00E843B5"/>
    <w:rsid w:val="00E84A3B"/>
    <w:rsid w:val="00E85307"/>
    <w:rsid w:val="00E907E4"/>
    <w:rsid w:val="00E90A24"/>
    <w:rsid w:val="00E90C34"/>
    <w:rsid w:val="00E919AC"/>
    <w:rsid w:val="00E946A6"/>
    <w:rsid w:val="00E947E4"/>
    <w:rsid w:val="00E96A29"/>
    <w:rsid w:val="00E96FE6"/>
    <w:rsid w:val="00EA1D43"/>
    <w:rsid w:val="00EA4EC9"/>
    <w:rsid w:val="00EA5E0F"/>
    <w:rsid w:val="00EA6FE4"/>
    <w:rsid w:val="00EA748A"/>
    <w:rsid w:val="00EA7B1F"/>
    <w:rsid w:val="00EA7F4C"/>
    <w:rsid w:val="00EB1D47"/>
    <w:rsid w:val="00EB2317"/>
    <w:rsid w:val="00EB279B"/>
    <w:rsid w:val="00EB2ABB"/>
    <w:rsid w:val="00EB5D88"/>
    <w:rsid w:val="00EB7307"/>
    <w:rsid w:val="00EC14B0"/>
    <w:rsid w:val="00EC204E"/>
    <w:rsid w:val="00EC249E"/>
    <w:rsid w:val="00EC2CFF"/>
    <w:rsid w:val="00EC5F2F"/>
    <w:rsid w:val="00EC651E"/>
    <w:rsid w:val="00EC692E"/>
    <w:rsid w:val="00EC745E"/>
    <w:rsid w:val="00EC7EAF"/>
    <w:rsid w:val="00ED27C3"/>
    <w:rsid w:val="00ED33AE"/>
    <w:rsid w:val="00ED3775"/>
    <w:rsid w:val="00ED4A6D"/>
    <w:rsid w:val="00ED6D4A"/>
    <w:rsid w:val="00ED738C"/>
    <w:rsid w:val="00ED7918"/>
    <w:rsid w:val="00ED7E6A"/>
    <w:rsid w:val="00ED7FD3"/>
    <w:rsid w:val="00EE3663"/>
    <w:rsid w:val="00EE41C4"/>
    <w:rsid w:val="00EE76A9"/>
    <w:rsid w:val="00EE799E"/>
    <w:rsid w:val="00EE7CA8"/>
    <w:rsid w:val="00EE7FA7"/>
    <w:rsid w:val="00EF1093"/>
    <w:rsid w:val="00EF1FCB"/>
    <w:rsid w:val="00EF21C3"/>
    <w:rsid w:val="00EF2211"/>
    <w:rsid w:val="00EF492F"/>
    <w:rsid w:val="00F0030E"/>
    <w:rsid w:val="00F00CD1"/>
    <w:rsid w:val="00F01E6B"/>
    <w:rsid w:val="00F0241C"/>
    <w:rsid w:val="00F05759"/>
    <w:rsid w:val="00F10CB9"/>
    <w:rsid w:val="00F110D5"/>
    <w:rsid w:val="00F12351"/>
    <w:rsid w:val="00F1452C"/>
    <w:rsid w:val="00F15266"/>
    <w:rsid w:val="00F16739"/>
    <w:rsid w:val="00F16DE2"/>
    <w:rsid w:val="00F2052B"/>
    <w:rsid w:val="00F20C99"/>
    <w:rsid w:val="00F2260F"/>
    <w:rsid w:val="00F242AD"/>
    <w:rsid w:val="00F247F2"/>
    <w:rsid w:val="00F265F7"/>
    <w:rsid w:val="00F27FA6"/>
    <w:rsid w:val="00F33DC8"/>
    <w:rsid w:val="00F34444"/>
    <w:rsid w:val="00F41ADA"/>
    <w:rsid w:val="00F4275C"/>
    <w:rsid w:val="00F44A01"/>
    <w:rsid w:val="00F5171B"/>
    <w:rsid w:val="00F52339"/>
    <w:rsid w:val="00F5277A"/>
    <w:rsid w:val="00F532E8"/>
    <w:rsid w:val="00F537FF"/>
    <w:rsid w:val="00F55FD7"/>
    <w:rsid w:val="00F560FE"/>
    <w:rsid w:val="00F6111C"/>
    <w:rsid w:val="00F614C0"/>
    <w:rsid w:val="00F61647"/>
    <w:rsid w:val="00F647EC"/>
    <w:rsid w:val="00F657CF"/>
    <w:rsid w:val="00F709A5"/>
    <w:rsid w:val="00F713A3"/>
    <w:rsid w:val="00F71A8F"/>
    <w:rsid w:val="00F75330"/>
    <w:rsid w:val="00F76BD9"/>
    <w:rsid w:val="00F80318"/>
    <w:rsid w:val="00F80703"/>
    <w:rsid w:val="00F80948"/>
    <w:rsid w:val="00F811DE"/>
    <w:rsid w:val="00F81387"/>
    <w:rsid w:val="00F822E3"/>
    <w:rsid w:val="00F82866"/>
    <w:rsid w:val="00F84421"/>
    <w:rsid w:val="00F8449B"/>
    <w:rsid w:val="00F84B6F"/>
    <w:rsid w:val="00F85691"/>
    <w:rsid w:val="00F87094"/>
    <w:rsid w:val="00F87AB3"/>
    <w:rsid w:val="00F90A5B"/>
    <w:rsid w:val="00F913DC"/>
    <w:rsid w:val="00F91DDA"/>
    <w:rsid w:val="00F9397A"/>
    <w:rsid w:val="00F93A37"/>
    <w:rsid w:val="00F94182"/>
    <w:rsid w:val="00F944D9"/>
    <w:rsid w:val="00F94DB3"/>
    <w:rsid w:val="00F96500"/>
    <w:rsid w:val="00FA413A"/>
    <w:rsid w:val="00FA4144"/>
    <w:rsid w:val="00FA4751"/>
    <w:rsid w:val="00FA4DDF"/>
    <w:rsid w:val="00FA5E71"/>
    <w:rsid w:val="00FA6E7F"/>
    <w:rsid w:val="00FA7114"/>
    <w:rsid w:val="00FB2379"/>
    <w:rsid w:val="00FB4B8A"/>
    <w:rsid w:val="00FB5127"/>
    <w:rsid w:val="00FB5152"/>
    <w:rsid w:val="00FB680E"/>
    <w:rsid w:val="00FB6A5E"/>
    <w:rsid w:val="00FC0065"/>
    <w:rsid w:val="00FC0A07"/>
    <w:rsid w:val="00FC3AEE"/>
    <w:rsid w:val="00FC6238"/>
    <w:rsid w:val="00FD33FC"/>
    <w:rsid w:val="00FD3730"/>
    <w:rsid w:val="00FD3924"/>
    <w:rsid w:val="00FD3ADE"/>
    <w:rsid w:val="00FD3B08"/>
    <w:rsid w:val="00FD4806"/>
    <w:rsid w:val="00FD534E"/>
    <w:rsid w:val="00FD56C7"/>
    <w:rsid w:val="00FD58F4"/>
    <w:rsid w:val="00FD5CBB"/>
    <w:rsid w:val="00FD6B74"/>
    <w:rsid w:val="00FE002E"/>
    <w:rsid w:val="00FE21B5"/>
    <w:rsid w:val="00FE2398"/>
    <w:rsid w:val="00FE386B"/>
    <w:rsid w:val="00FE515A"/>
    <w:rsid w:val="00FE5624"/>
    <w:rsid w:val="00FE5D2C"/>
    <w:rsid w:val="00FE5FBF"/>
    <w:rsid w:val="00FE6C25"/>
    <w:rsid w:val="00FE6DFA"/>
    <w:rsid w:val="00FF033A"/>
    <w:rsid w:val="00FF0964"/>
    <w:rsid w:val="00FF16F2"/>
    <w:rsid w:val="00FF2B42"/>
    <w:rsid w:val="00FF3B7F"/>
    <w:rsid w:val="00FF61D9"/>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BFC67F"/>
  <w15:chartTrackingRefBased/>
  <w15:docId w15:val="{62575F6A-809A-4587-B9FB-181B4ED173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02F2A"/>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lang w:eastAsia="x-none"/>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lang w:eastAsia="x-none"/>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rPr>
      <w:lang w:eastAsia="x-none"/>
    </w:r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0D5737"/>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39935461">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723391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10200231">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97373364">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77454605">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809543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file:///D:\userdata\shakola\tdocs\R1-1714801.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6" ma:contentTypeDescription="Create a new document." ma:contentTypeScope="" ma:versionID="2512cfc52e0dee5c26c659aab5bd17af">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f5417f0a76b3d38cd954be05541786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5AIRPNAIUNRU-1830940522-1780</_dlc_DocId>
    <_dlc_DocIdUrl xmlns="71c5aaf6-e6ce-465b-b873-5148d2a4c105">
      <Url>https://nokia.sharepoint.com/sites/c5g/5gradio/_layouts/15/DocIdRedir.aspx?ID=5AIRPNAIUNRU-1830940522-1780</Url>
      <Description>5AIRPNAIUNRU-1830940522-1780</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B4709C-30CC-4982-B79C-0DD6F62355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2ACFAD08-3718-4AB6-A172-AF769C7D9F32}">
  <ds:schemaRefs>
    <ds:schemaRef ds:uri="http://schemas.microsoft.com/sharepoint/events"/>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167B327B-C7D3-459E-B933-3C42E6F093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762</TotalTime>
  <Pages>9</Pages>
  <Words>3458</Words>
  <Characters>19713</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23125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Farag, Emad (Nokia - US)</cp:lastModifiedBy>
  <cp:revision>59</cp:revision>
  <cp:lastPrinted>2017-08-07T12:57:00Z</cp:lastPrinted>
  <dcterms:created xsi:type="dcterms:W3CDTF">2017-08-01T16:01:00Z</dcterms:created>
  <dcterms:modified xsi:type="dcterms:W3CDTF">2017-09-11T21:01:00Z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c8c01ac6-feb1-4dd2-9131-71dffd60cfb9</vt:lpwstr>
  </property>
</Properties>
</file>